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3A" w:rsidRDefault="00B946D4" w:rsidP="00B365E3">
      <w:bookmarkStart w:id="0" w:name="_GoBack"/>
      <w:bookmarkEnd w:id="0"/>
      <w:r>
        <w:rPr>
          <w:noProof/>
          <w:lang w:eastAsia="en-GB"/>
        </w:rPr>
        <w:drawing>
          <wp:anchor distT="0" distB="0" distL="114300" distR="114300" simplePos="0" relativeHeight="251657728" behindDoc="0" locked="0" layoutInCell="1" allowOverlap="1">
            <wp:simplePos x="0" y="0"/>
            <wp:positionH relativeFrom="column">
              <wp:posOffset>5200650</wp:posOffset>
            </wp:positionH>
            <wp:positionV relativeFrom="paragraph">
              <wp:posOffset>0</wp:posOffset>
            </wp:positionV>
            <wp:extent cx="942975" cy="1257300"/>
            <wp:effectExtent l="0" t="0" r="9525" b="0"/>
            <wp:wrapSquare wrapText="left"/>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426"/>
        <w:gridCol w:w="2012"/>
        <w:gridCol w:w="6407"/>
      </w:tblGrid>
      <w:tr w:rsidR="00BB4116" w:rsidTr="00BB4116">
        <w:tc>
          <w:tcPr>
            <w:tcW w:w="2438" w:type="dxa"/>
            <w:gridSpan w:val="2"/>
            <w:hideMark/>
          </w:tcPr>
          <w:p w:rsidR="00B12E70" w:rsidRDefault="00B12E70" w:rsidP="00B365E3">
            <w:pPr>
              <w:rPr>
                <w:rStyle w:val="Firstpagetablebold"/>
              </w:rPr>
            </w:pPr>
          </w:p>
          <w:p w:rsidR="00BB4116" w:rsidRDefault="00BB4116" w:rsidP="00B365E3">
            <w:pPr>
              <w:rPr>
                <w:rStyle w:val="Firstpagetablebold"/>
                <w:rFonts w:cs="Times New Roman"/>
              </w:rPr>
            </w:pPr>
            <w:r>
              <w:rPr>
                <w:rStyle w:val="Firstpagetablebold"/>
              </w:rPr>
              <w:t>To:</w:t>
            </w:r>
          </w:p>
        </w:tc>
        <w:tc>
          <w:tcPr>
            <w:tcW w:w="6407" w:type="dxa"/>
            <w:hideMark/>
          </w:tcPr>
          <w:p w:rsidR="00B12E70" w:rsidRDefault="00B12E70" w:rsidP="00B365E3">
            <w:pPr>
              <w:rPr>
                <w:rStyle w:val="Firstpagetablebold"/>
              </w:rPr>
            </w:pPr>
          </w:p>
          <w:p w:rsidR="00DC3B68" w:rsidRDefault="00DC3B68" w:rsidP="00B365E3">
            <w:pPr>
              <w:rPr>
                <w:rStyle w:val="Firstpagetablebold"/>
              </w:rPr>
            </w:pPr>
            <w:r>
              <w:rPr>
                <w:rStyle w:val="Firstpagetablebold"/>
              </w:rPr>
              <w:t>Cabinet - 15 July 2020</w:t>
            </w:r>
          </w:p>
          <w:p w:rsidR="00BB4116" w:rsidRDefault="00BB4116" w:rsidP="00B365E3">
            <w:pPr>
              <w:rPr>
                <w:rStyle w:val="Firstpagetablebold"/>
              </w:rPr>
            </w:pPr>
            <w:r>
              <w:rPr>
                <w:rStyle w:val="Firstpagetablebold"/>
              </w:rPr>
              <w:t>Council</w:t>
            </w:r>
            <w:r w:rsidR="00DC3B68">
              <w:rPr>
                <w:rStyle w:val="Firstpagetablebold"/>
              </w:rPr>
              <w:t xml:space="preserve"> - 20 July 2020</w:t>
            </w:r>
          </w:p>
        </w:tc>
      </w:tr>
      <w:tr w:rsidR="00BB4116" w:rsidTr="00BB4116">
        <w:tc>
          <w:tcPr>
            <w:tcW w:w="2438" w:type="dxa"/>
            <w:gridSpan w:val="2"/>
            <w:hideMark/>
          </w:tcPr>
          <w:p w:rsidR="00BB4116" w:rsidRDefault="00BB4116" w:rsidP="00B365E3">
            <w:pPr>
              <w:rPr>
                <w:rStyle w:val="Firstpagetablebold"/>
                <w:rFonts w:cs="Times New Roman"/>
              </w:rPr>
            </w:pPr>
            <w:r>
              <w:rPr>
                <w:rStyle w:val="Firstpagetablebold"/>
              </w:rPr>
              <w:t>Report of:</w:t>
            </w:r>
          </w:p>
        </w:tc>
        <w:tc>
          <w:tcPr>
            <w:tcW w:w="6407" w:type="dxa"/>
            <w:hideMark/>
          </w:tcPr>
          <w:p w:rsidR="00BB4116" w:rsidRDefault="00BB4116" w:rsidP="00B365E3">
            <w:pPr>
              <w:rPr>
                <w:rStyle w:val="Firstpagetablebold"/>
              </w:rPr>
            </w:pPr>
            <w:r>
              <w:rPr>
                <w:rStyle w:val="Firstpagetablebold"/>
              </w:rPr>
              <w:t>Head of Law and Governance</w:t>
            </w:r>
            <w:r w:rsidR="004D29FE">
              <w:rPr>
                <w:rStyle w:val="Firstpagetablebold"/>
              </w:rPr>
              <w:t xml:space="preserve"> on behalf of the </w:t>
            </w:r>
            <w:r w:rsidR="00DB59F5">
              <w:rPr>
                <w:rStyle w:val="Firstpagetablebold"/>
              </w:rPr>
              <w:t>Head of Paid Service (</w:t>
            </w:r>
            <w:r w:rsidR="004D29FE">
              <w:rPr>
                <w:rStyle w:val="Firstpagetablebold"/>
              </w:rPr>
              <w:t>Chief Executive</w:t>
            </w:r>
            <w:r w:rsidR="00DB59F5">
              <w:rPr>
                <w:rStyle w:val="Firstpagetablebold"/>
              </w:rPr>
              <w:t>)</w:t>
            </w:r>
          </w:p>
        </w:tc>
      </w:tr>
      <w:tr w:rsidR="00BB4116" w:rsidTr="00BB4116">
        <w:tc>
          <w:tcPr>
            <w:tcW w:w="2438" w:type="dxa"/>
            <w:gridSpan w:val="2"/>
            <w:hideMark/>
          </w:tcPr>
          <w:p w:rsidR="00BB4116" w:rsidRDefault="00BB4116" w:rsidP="00B365E3">
            <w:pPr>
              <w:rPr>
                <w:rStyle w:val="Firstpagetablebold"/>
              </w:rPr>
            </w:pPr>
            <w:r>
              <w:rPr>
                <w:rStyle w:val="Firstpagetablebold"/>
              </w:rPr>
              <w:t xml:space="preserve">Title of Report: </w:t>
            </w:r>
          </w:p>
        </w:tc>
        <w:tc>
          <w:tcPr>
            <w:tcW w:w="6407" w:type="dxa"/>
          </w:tcPr>
          <w:p w:rsidR="00BB4116" w:rsidRDefault="00BB4116" w:rsidP="00D35A7A">
            <w:pPr>
              <w:rPr>
                <w:rStyle w:val="Firstpagetablebold"/>
                <w:sz w:val="8"/>
              </w:rPr>
            </w:pPr>
            <w:r>
              <w:rPr>
                <w:rStyle w:val="Firstpagetablebold"/>
              </w:rPr>
              <w:t>D</w:t>
            </w:r>
            <w:r w:rsidRPr="00BB4116">
              <w:rPr>
                <w:rStyle w:val="Firstpagetablebold"/>
              </w:rPr>
              <w:t>ec</w:t>
            </w:r>
            <w:r w:rsidR="00DC3B68">
              <w:rPr>
                <w:rStyle w:val="Firstpagetablebold"/>
              </w:rPr>
              <w:t>isions taken under Parts</w:t>
            </w:r>
            <w:r w:rsidR="00B12E70">
              <w:rPr>
                <w:rStyle w:val="Firstpagetablebold"/>
              </w:rPr>
              <w:t xml:space="preserve"> 9.3</w:t>
            </w:r>
            <w:r w:rsidR="00DC3B68">
              <w:rPr>
                <w:rStyle w:val="Firstpagetablebold"/>
              </w:rPr>
              <w:t xml:space="preserve">(b) and </w:t>
            </w:r>
            <w:r w:rsidR="00B12E70">
              <w:rPr>
                <w:rStyle w:val="Firstpagetablebold"/>
              </w:rPr>
              <w:t>(c)</w:t>
            </w:r>
            <w:r w:rsidRPr="00BB4116">
              <w:rPr>
                <w:rStyle w:val="Firstpagetablebold"/>
              </w:rPr>
              <w:t xml:space="preserve"> of the Constitution</w:t>
            </w:r>
          </w:p>
        </w:tc>
      </w:tr>
      <w:tr w:rsidR="00B12E70" w:rsidTr="00BB4116">
        <w:tc>
          <w:tcPr>
            <w:tcW w:w="2438" w:type="dxa"/>
            <w:gridSpan w:val="2"/>
          </w:tcPr>
          <w:p w:rsidR="00B12E70" w:rsidRDefault="00B12E70" w:rsidP="00B365E3">
            <w:pPr>
              <w:rPr>
                <w:rStyle w:val="Firstpagetablebold"/>
              </w:rPr>
            </w:pPr>
          </w:p>
        </w:tc>
        <w:tc>
          <w:tcPr>
            <w:tcW w:w="6407" w:type="dxa"/>
          </w:tcPr>
          <w:p w:rsidR="00B12E70" w:rsidRDefault="00B12E70" w:rsidP="00D35A7A">
            <w:pPr>
              <w:rPr>
                <w:rStyle w:val="Firstpagetablebold"/>
              </w:rPr>
            </w:pPr>
          </w:p>
        </w:tc>
      </w:tr>
      <w:tr w:rsidR="00BB4116" w:rsidTr="00BB4116">
        <w:tc>
          <w:tcPr>
            <w:tcW w:w="8845" w:type="dxa"/>
            <w:gridSpan w:val="3"/>
            <w:tcBorders>
              <w:top w:val="single" w:sz="8" w:space="0" w:color="000000"/>
              <w:left w:val="single" w:sz="8" w:space="0" w:color="000000"/>
              <w:bottom w:val="single" w:sz="8" w:space="0" w:color="000000"/>
              <w:right w:val="single" w:sz="8" w:space="0" w:color="000000"/>
            </w:tcBorders>
            <w:hideMark/>
          </w:tcPr>
          <w:p w:rsidR="00BB4116" w:rsidRDefault="00BB4116" w:rsidP="00B365E3">
            <w:pPr>
              <w:rPr>
                <w:rStyle w:val="Firstpagetablebold"/>
              </w:rPr>
            </w:pPr>
            <w:r>
              <w:rPr>
                <w:rStyle w:val="Firstpagetablebold"/>
              </w:rPr>
              <w:t>Summary and recommendations</w:t>
            </w:r>
          </w:p>
        </w:tc>
      </w:tr>
      <w:tr w:rsidR="00BB4116" w:rsidTr="00BB4116">
        <w:tc>
          <w:tcPr>
            <w:tcW w:w="2438" w:type="dxa"/>
            <w:gridSpan w:val="2"/>
            <w:tcBorders>
              <w:top w:val="single" w:sz="8" w:space="0" w:color="000000"/>
              <w:left w:val="single" w:sz="8" w:space="0" w:color="000000"/>
              <w:bottom w:val="nil"/>
              <w:right w:val="nil"/>
            </w:tcBorders>
            <w:hideMark/>
          </w:tcPr>
          <w:p w:rsidR="00BB4116" w:rsidRDefault="00BB4116" w:rsidP="00B365E3">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BB4116" w:rsidRDefault="00DC3B68" w:rsidP="00DC3B68">
            <w:r>
              <w:t xml:space="preserve">Cabinet and </w:t>
            </w:r>
            <w:r w:rsidR="00BB4116">
              <w:t xml:space="preserve">Council </w:t>
            </w:r>
            <w:r>
              <w:t>are</w:t>
            </w:r>
            <w:r w:rsidR="00BB4116">
              <w:t xml:space="preserve"> asked to note the decisions taken by the </w:t>
            </w:r>
            <w:r w:rsidR="00DB59F5">
              <w:t>Head of Paid Service (Chief Executive)</w:t>
            </w:r>
            <w:r w:rsidR="003D56D2">
              <w:t xml:space="preserve"> </w:t>
            </w:r>
            <w:r>
              <w:t xml:space="preserve">using the urgency and </w:t>
            </w:r>
            <w:r w:rsidR="00BB4116">
              <w:t>emerg</w:t>
            </w:r>
            <w:r w:rsidR="003D56D2">
              <w:t>ency powers</w:t>
            </w:r>
            <w:r>
              <w:t xml:space="preserve"> delegated in </w:t>
            </w:r>
            <w:r w:rsidR="000C3011">
              <w:t xml:space="preserve">Parts 9.3(b) and (c) of </w:t>
            </w:r>
            <w:r>
              <w:t>the Constitution</w:t>
            </w:r>
            <w:r w:rsidR="003D56D2">
              <w:t>.</w:t>
            </w:r>
            <w:r w:rsidR="00BB4116">
              <w:t xml:space="preserve"> </w:t>
            </w:r>
          </w:p>
        </w:tc>
      </w:tr>
      <w:tr w:rsidR="00BB4116" w:rsidTr="00BB4116">
        <w:trPr>
          <w:trHeight w:val="413"/>
        </w:trPr>
        <w:tc>
          <w:tcPr>
            <w:tcW w:w="8845" w:type="dxa"/>
            <w:gridSpan w:val="3"/>
            <w:tcBorders>
              <w:top w:val="single" w:sz="8" w:space="0" w:color="000000"/>
              <w:left w:val="single" w:sz="8" w:space="0" w:color="000000"/>
              <w:bottom w:val="single" w:sz="8" w:space="0" w:color="000000"/>
              <w:right w:val="single" w:sz="8" w:space="0" w:color="000000"/>
            </w:tcBorders>
            <w:hideMark/>
          </w:tcPr>
          <w:p w:rsidR="00BB4116" w:rsidRDefault="00BB4116" w:rsidP="00B365E3">
            <w:r>
              <w:rPr>
                <w:rStyle w:val="Firstpagetablebold"/>
              </w:rPr>
              <w:t xml:space="preserve">Recommendation(s): </w:t>
            </w:r>
            <w:r w:rsidR="00DC3B68">
              <w:rPr>
                <w:rStyle w:val="Firstpagetablebold"/>
              </w:rPr>
              <w:t>Cabinet and Council are</w:t>
            </w:r>
            <w:r>
              <w:rPr>
                <w:rStyle w:val="Firstpagetablebold"/>
              </w:rPr>
              <w:t xml:space="preserve"> recommended to:</w:t>
            </w:r>
          </w:p>
        </w:tc>
      </w:tr>
      <w:tr w:rsidR="00BB4116" w:rsidTr="00BB4116">
        <w:trPr>
          <w:trHeight w:val="283"/>
        </w:trPr>
        <w:tc>
          <w:tcPr>
            <w:tcW w:w="426" w:type="dxa"/>
            <w:tcBorders>
              <w:top w:val="nil"/>
              <w:left w:val="single" w:sz="8" w:space="0" w:color="000000"/>
              <w:bottom w:val="single" w:sz="8" w:space="0" w:color="000000"/>
              <w:right w:val="nil"/>
            </w:tcBorders>
            <w:hideMark/>
          </w:tcPr>
          <w:p w:rsidR="00BB4116" w:rsidRDefault="00BB4116" w:rsidP="00B365E3">
            <w:pPr>
              <w:rPr>
                <w:color w:val="000000"/>
              </w:rPr>
            </w:pPr>
            <w:r>
              <w:t>1.</w:t>
            </w:r>
          </w:p>
        </w:tc>
        <w:tc>
          <w:tcPr>
            <w:tcW w:w="8419" w:type="dxa"/>
            <w:gridSpan w:val="2"/>
            <w:tcBorders>
              <w:top w:val="nil"/>
              <w:left w:val="nil"/>
              <w:bottom w:val="single" w:sz="8" w:space="0" w:color="000000"/>
              <w:right w:val="single" w:sz="8" w:space="0" w:color="000000"/>
            </w:tcBorders>
            <w:hideMark/>
          </w:tcPr>
          <w:p w:rsidR="00BB4116" w:rsidRDefault="00BB4116" w:rsidP="00B365E3">
            <w:r>
              <w:rPr>
                <w:rStyle w:val="Firstpagetablebold"/>
              </w:rPr>
              <w:t xml:space="preserve">Note the decisions taken as set out in the report. </w:t>
            </w:r>
          </w:p>
        </w:tc>
      </w:tr>
    </w:tbl>
    <w:p w:rsidR="00BC313A" w:rsidRDefault="00BC313A" w:rsidP="00B365E3">
      <w:pPr>
        <w:rPr>
          <w:rFonts w:eastAsia="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CC2D82" w:rsidRPr="00CC2D82" w:rsidTr="00CC2D82">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CC2D82" w:rsidRPr="00CC2D82" w:rsidRDefault="00CC2D82" w:rsidP="00CC2D82">
            <w:pPr>
              <w:rPr>
                <w:rFonts w:eastAsia="Arial Unicode MS"/>
              </w:rPr>
            </w:pPr>
            <w:r w:rsidRPr="00CC2D82">
              <w:rPr>
                <w:rFonts w:eastAsia="Arial Unicode MS"/>
                <w:b/>
              </w:rPr>
              <w:t>Appendices</w:t>
            </w:r>
          </w:p>
        </w:tc>
      </w:tr>
      <w:tr w:rsidR="00CC2D82" w:rsidRPr="00CC2D82" w:rsidTr="00CC2D82">
        <w:tc>
          <w:tcPr>
            <w:tcW w:w="2438" w:type="dxa"/>
            <w:tcBorders>
              <w:top w:val="single" w:sz="8" w:space="0" w:color="000000"/>
              <w:left w:val="single" w:sz="8" w:space="0" w:color="000000"/>
              <w:bottom w:val="single" w:sz="4" w:space="0" w:color="auto"/>
              <w:right w:val="nil"/>
            </w:tcBorders>
            <w:shd w:val="clear" w:color="auto" w:fill="auto"/>
          </w:tcPr>
          <w:p w:rsidR="00CC2D82" w:rsidRPr="00CC2D82" w:rsidRDefault="00CC2D82" w:rsidP="00CC2D82">
            <w:pPr>
              <w:rPr>
                <w:rFonts w:eastAsia="Arial Unicode MS"/>
              </w:rPr>
            </w:pPr>
            <w:r w:rsidRPr="00CC2D82">
              <w:rPr>
                <w:rFonts w:eastAsia="Arial Unicode MS"/>
              </w:rPr>
              <w:t>Appendix 1</w:t>
            </w:r>
          </w:p>
        </w:tc>
        <w:tc>
          <w:tcPr>
            <w:tcW w:w="6406" w:type="dxa"/>
            <w:tcBorders>
              <w:top w:val="single" w:sz="8" w:space="0" w:color="000000"/>
              <w:left w:val="nil"/>
              <w:bottom w:val="single" w:sz="4" w:space="0" w:color="auto"/>
              <w:right w:val="single" w:sz="8" w:space="0" w:color="000000"/>
            </w:tcBorders>
          </w:tcPr>
          <w:p w:rsidR="00CC2D82" w:rsidRPr="00CC2D82" w:rsidRDefault="00CC2D82" w:rsidP="00CC2D82">
            <w:pPr>
              <w:rPr>
                <w:rFonts w:eastAsia="Arial Unicode MS"/>
              </w:rPr>
            </w:pPr>
            <w:r>
              <w:rPr>
                <w:rFonts w:eastAsia="Arial Unicode MS"/>
              </w:rPr>
              <w:t>Additional decisions taken using urgency or emergency powers (if required).</w:t>
            </w:r>
          </w:p>
        </w:tc>
      </w:tr>
    </w:tbl>
    <w:p w:rsidR="00CC2D82" w:rsidRDefault="00CC2D82" w:rsidP="00B365E3">
      <w:pPr>
        <w:rPr>
          <w:rFonts w:eastAsia="Arial Unicode MS"/>
        </w:rPr>
      </w:pPr>
    </w:p>
    <w:p w:rsidR="00BB4116" w:rsidRPr="00BB4116" w:rsidRDefault="00BB4116" w:rsidP="00B365E3">
      <w:pPr>
        <w:pStyle w:val="Heading1"/>
      </w:pPr>
      <w:r w:rsidRPr="00BB4116">
        <w:t>Introduction and background</w:t>
      </w:r>
    </w:p>
    <w:p w:rsidR="00BB4116" w:rsidRDefault="00BB4116" w:rsidP="003D56D2">
      <w:pPr>
        <w:pStyle w:val="ListParagraph"/>
        <w:ind w:left="426" w:hanging="426"/>
      </w:pPr>
      <w:r w:rsidRPr="00BB4116">
        <w:t xml:space="preserve">This report </w:t>
      </w:r>
      <w:r w:rsidR="00ED0FD4">
        <w:t xml:space="preserve">updates Cabinet and Council on </w:t>
      </w:r>
      <w:r w:rsidR="00B365E3">
        <w:t xml:space="preserve">decisions taken </w:t>
      </w:r>
      <w:r w:rsidR="003D56D2">
        <w:t>by the Head of Paid Service</w:t>
      </w:r>
      <w:r w:rsidR="00DB59F5">
        <w:t xml:space="preserve"> (Chief Executive</w:t>
      </w:r>
      <w:r w:rsidR="003D56D2">
        <w:t xml:space="preserve">) </w:t>
      </w:r>
      <w:r w:rsidR="00B365E3">
        <w:t>using the</w:t>
      </w:r>
      <w:r w:rsidR="003D56D2">
        <w:t xml:space="preserve"> </w:t>
      </w:r>
      <w:r w:rsidR="00DC3B68">
        <w:t xml:space="preserve">urgency and </w:t>
      </w:r>
      <w:r w:rsidR="003D56D2">
        <w:t>emergency</w:t>
      </w:r>
      <w:r w:rsidR="00B365E3">
        <w:t xml:space="preserve"> powers </w:t>
      </w:r>
      <w:r w:rsidR="005C1B66">
        <w:t>delegated</w:t>
      </w:r>
      <w:r w:rsidR="00B365E3">
        <w:t xml:space="preserve"> in the Council’</w:t>
      </w:r>
      <w:r w:rsidR="00D35A7A">
        <w:t>s Constitution</w:t>
      </w:r>
      <w:r w:rsidR="00ED0FD4">
        <w:t>.</w:t>
      </w:r>
    </w:p>
    <w:p w:rsidR="000C3011" w:rsidRDefault="000C3011" w:rsidP="000C3011">
      <w:pPr>
        <w:pStyle w:val="ListParagraph"/>
        <w:ind w:left="426" w:hanging="426"/>
      </w:pPr>
      <w:r w:rsidRPr="000C3011">
        <w:t>Where</w:t>
      </w:r>
      <w:r w:rsidR="005C1B66">
        <w:t xml:space="preserve"> urgency and emergency</w:t>
      </w:r>
      <w:r w:rsidRPr="000C3011">
        <w:t xml:space="preserve"> powers are used the Constitution requires the Head of Paid Service to report, in writing, as soon as practicable to the body which would otherwise have been required to give the necessary authority to act.</w:t>
      </w:r>
      <w:r w:rsidR="00ED0FD4">
        <w:t xml:space="preserve"> </w:t>
      </w:r>
    </w:p>
    <w:p w:rsidR="00DC3B68" w:rsidRDefault="00DC3B68" w:rsidP="003D56D2">
      <w:pPr>
        <w:pStyle w:val="ListParagraph"/>
        <w:numPr>
          <w:ilvl w:val="0"/>
          <w:numId w:val="0"/>
        </w:numPr>
        <w:ind w:left="426"/>
        <w:rPr>
          <w:rStyle w:val="Firstpagetablebold"/>
          <w:i/>
        </w:rPr>
      </w:pPr>
      <w:r>
        <w:rPr>
          <w:rFonts w:cs="Arial"/>
          <w:b/>
          <w:i/>
        </w:rPr>
        <w:t xml:space="preserve">9.3 </w:t>
      </w:r>
      <w:r w:rsidRPr="00DC3B68">
        <w:rPr>
          <w:rFonts w:cs="Arial"/>
          <w:b/>
          <w:i/>
        </w:rPr>
        <w:t>Role of Head of Paid Service</w:t>
      </w:r>
    </w:p>
    <w:p w:rsidR="00DC3B68" w:rsidRPr="00DC3B68" w:rsidRDefault="00DC3B68" w:rsidP="003D56D2">
      <w:pPr>
        <w:pStyle w:val="ListParagraph"/>
        <w:numPr>
          <w:ilvl w:val="0"/>
          <w:numId w:val="0"/>
        </w:numPr>
        <w:ind w:left="426"/>
        <w:rPr>
          <w:rStyle w:val="Firstpagetablebold"/>
          <w:b w:val="0"/>
        </w:rPr>
      </w:pPr>
      <w:r w:rsidRPr="00DC3B68">
        <w:rPr>
          <w:rStyle w:val="Firstpagetablebold"/>
          <w:b w:val="0"/>
        </w:rPr>
        <w:t>…</w:t>
      </w:r>
    </w:p>
    <w:p w:rsidR="00DC3B68" w:rsidRDefault="00DC3B68" w:rsidP="00DC3B68">
      <w:pPr>
        <w:pStyle w:val="ListParagraph"/>
        <w:numPr>
          <w:ilvl w:val="0"/>
          <w:numId w:val="0"/>
        </w:numPr>
        <w:ind w:left="426"/>
        <w:rPr>
          <w:rStyle w:val="Firstpagetablebold"/>
          <w:b w:val="0"/>
          <w:i/>
        </w:rPr>
      </w:pPr>
      <w:r w:rsidRPr="00DC3B68">
        <w:rPr>
          <w:rStyle w:val="Firstpagetablebold"/>
          <w:b w:val="0"/>
          <w:i/>
        </w:rPr>
        <w:t>(b) The Head of Paid Service is authorised to take any urgent action necessary to protect the Council’s interests and assets where time is of the essence and it is impracticable to secure authority to act where such authority would otherwise be required.</w:t>
      </w:r>
    </w:p>
    <w:p w:rsidR="00DC3B68" w:rsidRPr="00DC3B68" w:rsidRDefault="00DC3B68" w:rsidP="00DC3B68">
      <w:pPr>
        <w:pStyle w:val="ListParagraph"/>
        <w:numPr>
          <w:ilvl w:val="0"/>
          <w:numId w:val="0"/>
        </w:numPr>
        <w:ind w:left="426"/>
        <w:rPr>
          <w:rStyle w:val="Firstpagetablebold"/>
          <w:b w:val="0"/>
          <w:i/>
        </w:rPr>
      </w:pPr>
      <w:r>
        <w:rPr>
          <w:rStyle w:val="Firstpagetablebold"/>
          <w:b w:val="0"/>
          <w:i/>
        </w:rPr>
        <w:lastRenderedPageBreak/>
        <w:t>T</w:t>
      </w:r>
      <w:r w:rsidRPr="00DC3B68">
        <w:rPr>
          <w:rStyle w:val="Firstpagetablebold"/>
          <w:b w:val="0"/>
          <w:i/>
        </w:rPr>
        <w:t>he Head of Paid Service, in so acting, will be guided by budget and the</w:t>
      </w:r>
      <w:r>
        <w:rPr>
          <w:rStyle w:val="Firstpagetablebold"/>
          <w:b w:val="0"/>
          <w:i/>
        </w:rPr>
        <w:t xml:space="preserve"> </w:t>
      </w:r>
      <w:r w:rsidRPr="00DC3B68">
        <w:rPr>
          <w:rStyle w:val="Firstpagetablebold"/>
          <w:b w:val="0"/>
          <w:i/>
        </w:rPr>
        <w:t>policy framework, will consult the other Stat</w:t>
      </w:r>
      <w:r>
        <w:rPr>
          <w:rStyle w:val="Firstpagetablebold"/>
          <w:b w:val="0"/>
          <w:i/>
        </w:rPr>
        <w:t xml:space="preserve">utory Officers before acting and </w:t>
      </w:r>
      <w:r w:rsidRPr="00DC3B68">
        <w:rPr>
          <w:rStyle w:val="Firstpagetablebold"/>
          <w:b w:val="0"/>
          <w:i/>
        </w:rPr>
        <w:t>will report, in writing, as soon as practicable to the body which would</w:t>
      </w:r>
      <w:r>
        <w:rPr>
          <w:rStyle w:val="Firstpagetablebold"/>
          <w:b w:val="0"/>
          <w:i/>
        </w:rPr>
        <w:t xml:space="preserve"> </w:t>
      </w:r>
      <w:r w:rsidRPr="00DC3B68">
        <w:rPr>
          <w:rStyle w:val="Firstpagetablebold"/>
          <w:b w:val="0"/>
          <w:i/>
        </w:rPr>
        <w:t>otherwise have been required to give the necessary authority to act.</w:t>
      </w:r>
    </w:p>
    <w:p w:rsidR="00DC3B68" w:rsidRDefault="00D35A7A" w:rsidP="003D56D2">
      <w:pPr>
        <w:pStyle w:val="ListParagraph"/>
        <w:numPr>
          <w:ilvl w:val="0"/>
          <w:numId w:val="0"/>
        </w:numPr>
        <w:ind w:left="426"/>
        <w:rPr>
          <w:i/>
        </w:rPr>
      </w:pPr>
      <w:r w:rsidRPr="00DC3B68">
        <w:rPr>
          <w:rStyle w:val="Firstpagetablebold"/>
          <w:b w:val="0"/>
          <w:i/>
        </w:rPr>
        <w:t xml:space="preserve">(c) </w:t>
      </w:r>
      <w:r w:rsidRPr="00D35A7A">
        <w:rPr>
          <w:i/>
        </w:rPr>
        <w:t xml:space="preserve">The Head of the Paid Service may authorise any emergency action required on any matter which shall include incurring expenditure, including those falling within the jurisdiction of a Committee or the Cabinet. </w:t>
      </w:r>
    </w:p>
    <w:p w:rsidR="00D35A7A" w:rsidRPr="00D35A7A" w:rsidRDefault="00D35A7A" w:rsidP="003D56D2">
      <w:pPr>
        <w:pStyle w:val="ListParagraph"/>
        <w:numPr>
          <w:ilvl w:val="0"/>
          <w:numId w:val="0"/>
        </w:numPr>
        <w:ind w:left="426"/>
        <w:rPr>
          <w:i/>
        </w:rPr>
      </w:pPr>
      <w:r w:rsidRPr="00D35A7A">
        <w:rPr>
          <w:i/>
        </w:rPr>
        <w:t>The Head of Paid Service, in so acting, will be guided by the budget and policy framework, will consult the other Statutory Officers before acting and will report, in writing, as soon as practicable to the body which would otherwise have been required to give the necessary authority to act.</w:t>
      </w:r>
    </w:p>
    <w:p w:rsidR="000C3011" w:rsidRPr="005C1B66" w:rsidRDefault="005C1B66" w:rsidP="005C1B66">
      <w:pPr>
        <w:rPr>
          <w:b/>
        </w:rPr>
      </w:pPr>
      <w:r w:rsidRPr="005C1B66">
        <w:rPr>
          <w:b/>
        </w:rPr>
        <w:t>Decisions taken using urgency and emergency powers</w:t>
      </w:r>
    </w:p>
    <w:p w:rsidR="00BB4116" w:rsidRPr="00CC2D82" w:rsidRDefault="000C3011" w:rsidP="00AB5686">
      <w:pPr>
        <w:pStyle w:val="ListParagraph"/>
        <w:ind w:left="426" w:hanging="426"/>
      </w:pPr>
      <w:r>
        <w:t xml:space="preserve">The following decisions have been taken </w:t>
      </w:r>
      <w:r w:rsidR="005C1B66">
        <w:t xml:space="preserve">using urgency and emergency powers </w:t>
      </w:r>
      <w:r>
        <w:t xml:space="preserve">for which Cabinet and Council would </w:t>
      </w:r>
      <w:r w:rsidR="005C1B66">
        <w:t>otherwise</w:t>
      </w:r>
      <w:r>
        <w:t xml:space="preserve"> have been required to give the necessary authority to act. </w:t>
      </w:r>
      <w:r w:rsidR="001D1097" w:rsidRPr="001D1097">
        <w:t xml:space="preserve">Cabinet is responsible for recommending the budget </w:t>
      </w:r>
      <w:r w:rsidR="00AB5686" w:rsidRPr="00AB5686">
        <w:t xml:space="preserve">to Council </w:t>
      </w:r>
      <w:r w:rsidR="001D1097" w:rsidRPr="001D1097">
        <w:t xml:space="preserve">(including extra spending outside the budget) and for granting approval for projects of £500k </w:t>
      </w:r>
      <w:r w:rsidR="001D1097">
        <w:t xml:space="preserve">or over </w:t>
      </w:r>
      <w:r w:rsidR="001D1097" w:rsidRPr="001D1097">
        <w:t>and Council is responsible for setting the budget.</w:t>
      </w:r>
      <w:r w:rsidR="001D1097">
        <w:t xml:space="preserve"> </w:t>
      </w:r>
      <w:r w:rsidRPr="000C3011">
        <w:rPr>
          <w:rFonts w:cs="Arial"/>
          <w:bCs/>
        </w:rPr>
        <w:t xml:space="preserve">Cabinet and </w:t>
      </w:r>
      <w:r w:rsidR="00CF05DA">
        <w:t xml:space="preserve">Council </w:t>
      </w:r>
      <w:r>
        <w:t>are</w:t>
      </w:r>
      <w:r w:rsidR="00CF05DA">
        <w:t xml:space="preserve"> asked to note these decisions</w:t>
      </w:r>
      <w:r w:rsidR="00CF05DA" w:rsidRPr="000C3011">
        <w:rPr>
          <w:color w:val="FF0000"/>
        </w:rPr>
        <w:t>.</w:t>
      </w:r>
    </w:p>
    <w:p w:rsidR="00CC2D82" w:rsidRPr="00CC2D82" w:rsidRDefault="00CC2D82" w:rsidP="00993F51">
      <w:pPr>
        <w:pStyle w:val="ListParagraph"/>
        <w:ind w:left="426" w:hanging="426"/>
      </w:pPr>
      <w:r w:rsidRPr="00CC2D82">
        <w:t xml:space="preserve">Should any further decisions be taken </w:t>
      </w:r>
      <w:r>
        <w:t xml:space="preserve">using urgency or emergency rules after this report is published </w:t>
      </w:r>
      <w:r w:rsidRPr="00CC2D82">
        <w:t xml:space="preserve">these will be set out in Appendix 1 </w:t>
      </w:r>
      <w:r>
        <w:t xml:space="preserve">(to be circulated separately </w:t>
      </w:r>
      <w:r w:rsidRPr="00CC2D82">
        <w:t>if required).</w:t>
      </w:r>
    </w:p>
    <w:p w:rsidR="00ED0FD4" w:rsidRDefault="00ED0FD4" w:rsidP="00ED0FD4">
      <w:pPr>
        <w:pStyle w:val="ListParagraph"/>
      </w:pPr>
      <w:r w:rsidRPr="00ED0FD4">
        <w:t>This report does not list all decisions taken by officers in response to the Covid-19 outbreak only those taken by the Head of Paid Service (Chief Executive) using his urgency and emergency powers under the provisions of Parts 9.3(b) and 9.3(c) of the Constitution.</w:t>
      </w:r>
      <w:r>
        <w:t xml:space="preserve"> This report does not include the decisions taken using emergency powers that were reported to the annual meeting of Council on 20 May 2020 since those decisions have already been reported to the body which would otherwise have been required to give the authority to act.</w:t>
      </w:r>
    </w:p>
    <w:p w:rsidR="00CC2D82" w:rsidRDefault="00CC2D82" w:rsidP="00CC2D82">
      <w:pPr>
        <w:pStyle w:val="ListParagraph"/>
        <w:numPr>
          <w:ilvl w:val="0"/>
          <w:numId w:val="0"/>
        </w:numPr>
        <w:ind w:left="360"/>
      </w:pPr>
    </w:p>
    <w:tbl>
      <w:tblPr>
        <w:tblW w:w="9166"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5"/>
        <w:gridCol w:w="1022"/>
        <w:gridCol w:w="2527"/>
        <w:gridCol w:w="1084"/>
        <w:gridCol w:w="4303"/>
        <w:gridCol w:w="115"/>
      </w:tblGrid>
      <w:tr w:rsidR="00CC2D82" w:rsidRPr="00C74FC0" w:rsidTr="00CC2D82">
        <w:trPr>
          <w:gridAfter w:val="1"/>
          <w:wAfter w:w="115" w:type="dxa"/>
        </w:trPr>
        <w:tc>
          <w:tcPr>
            <w:tcW w:w="1137" w:type="dxa"/>
            <w:gridSpan w:val="2"/>
            <w:noWrap/>
          </w:tcPr>
          <w:p w:rsidR="00CC2D82" w:rsidRPr="00CC2D82" w:rsidRDefault="00CC2D82" w:rsidP="00CC2D82">
            <w:pPr>
              <w:pStyle w:val="Normal17"/>
              <w:overflowPunct/>
              <w:autoSpaceDE/>
              <w:autoSpaceDN/>
              <w:adjustRightInd/>
              <w:textAlignment w:val="auto"/>
              <w:rPr>
                <w:b/>
              </w:rPr>
            </w:pPr>
            <w:r w:rsidRPr="00CC2D82">
              <w:rPr>
                <w:b/>
                <w:bdr w:val="nil"/>
              </w:rPr>
              <w:t xml:space="preserve">ITEM 1 </w:t>
            </w:r>
          </w:p>
        </w:tc>
        <w:tc>
          <w:tcPr>
            <w:tcW w:w="7914" w:type="dxa"/>
            <w:gridSpan w:val="3"/>
          </w:tcPr>
          <w:p w:rsidR="00CC2D82" w:rsidRPr="00C74FC0" w:rsidRDefault="00CC2D82" w:rsidP="006D382B">
            <w:pPr>
              <w:pStyle w:val="Normal17"/>
              <w:jc w:val="both"/>
              <w:rPr>
                <w:rFonts w:ascii="Arial Bold" w:hAnsi="Arial Bold"/>
                <w:b/>
                <w:bCs/>
                <w:caps/>
                <w:szCs w:val="22"/>
              </w:rPr>
            </w:pPr>
            <w:r>
              <w:rPr>
                <w:rFonts w:ascii="Arial Bold" w:hAnsi="Arial Bold"/>
                <w:b/>
                <w:bCs/>
                <w:caps/>
                <w:szCs w:val="22"/>
                <w:bdr w:val="nil"/>
              </w:rPr>
              <w:t>Additional revenue expenditure committed in response to the Covid-19 pandemic</w:t>
            </w:r>
          </w:p>
          <w:p w:rsidR="00CC2D82" w:rsidRPr="00C74FC0" w:rsidRDefault="00CC2D82" w:rsidP="006D382B">
            <w:pPr>
              <w:pStyle w:val="Normal17"/>
              <w:jc w:val="both"/>
              <w:rPr>
                <w:rFonts w:ascii="Arial Bold" w:hAnsi="Arial Bold"/>
                <w:b/>
                <w:caps/>
              </w:rPr>
            </w:pPr>
          </w:p>
        </w:tc>
      </w:tr>
      <w:tr w:rsidR="00CC2D82" w:rsidTr="00CC2D82">
        <w:tblPrEx>
          <w:tblCellMar>
            <w:top w:w="0" w:type="dxa"/>
            <w:left w:w="108" w:type="dxa"/>
            <w:right w:w="108" w:type="dxa"/>
          </w:tblCellMar>
          <w:tblLook w:val="04A0" w:firstRow="1" w:lastRow="0" w:firstColumn="1" w:lastColumn="0" w:noHBand="0" w:noVBand="1"/>
        </w:tblPrEx>
        <w:trPr>
          <w:gridAfter w:val="1"/>
          <w:wAfter w:w="115" w:type="dxa"/>
        </w:trPr>
        <w:tc>
          <w:tcPr>
            <w:tcW w:w="9051" w:type="dxa"/>
            <w:gridSpan w:val="5"/>
            <w:tcBorders>
              <w:top w:val="single" w:sz="4" w:space="0" w:color="auto"/>
              <w:left w:val="single" w:sz="4" w:space="0" w:color="auto"/>
              <w:bottom w:val="single" w:sz="4" w:space="0" w:color="auto"/>
              <w:right w:val="single" w:sz="4" w:space="0" w:color="auto"/>
            </w:tcBorders>
            <w:shd w:val="clear" w:color="auto" w:fill="auto"/>
          </w:tcPr>
          <w:p w:rsidR="00CC2D82" w:rsidRPr="00C74FC0" w:rsidRDefault="00CC2D82" w:rsidP="006D382B">
            <w:pPr>
              <w:pStyle w:val="Normal17"/>
              <w:jc w:val="both"/>
              <w:rPr>
                <w:bCs/>
                <w:szCs w:val="22"/>
              </w:rPr>
            </w:pPr>
            <w:r w:rsidRPr="00C74FC0">
              <w:rPr>
                <w:b/>
                <w:bCs/>
                <w:szCs w:val="22"/>
              </w:rPr>
              <w:t xml:space="preserve">Decision: </w:t>
            </w:r>
          </w:p>
          <w:p w:rsidR="00CC2D82" w:rsidRDefault="00CC2D82" w:rsidP="006D382B">
            <w:pPr>
              <w:rPr>
                <w:rFonts w:cs="Arial"/>
              </w:rPr>
            </w:pPr>
            <w:r>
              <w:rPr>
                <w:rFonts w:cs="Arial"/>
              </w:rPr>
              <w:t>To authorise the following spend which is outside the budget agreed by Council on 13 February 2020:</w:t>
            </w:r>
          </w:p>
          <w:p w:rsidR="00CC2D82" w:rsidRPr="006F7EBB" w:rsidRDefault="00CC2D82" w:rsidP="00CB1D9E">
            <w:pPr>
              <w:pStyle w:val="ListParagraph"/>
              <w:numPr>
                <w:ilvl w:val="0"/>
                <w:numId w:val="3"/>
              </w:numPr>
              <w:overflowPunct w:val="0"/>
              <w:autoSpaceDE w:val="0"/>
              <w:autoSpaceDN w:val="0"/>
              <w:adjustRightInd w:val="0"/>
              <w:spacing w:after="0"/>
              <w:contextualSpacing/>
              <w:textAlignment w:val="baseline"/>
              <w:rPr>
                <w:rFonts w:cs="Arial"/>
              </w:rPr>
            </w:pPr>
            <w:r w:rsidRPr="006F7EBB">
              <w:rPr>
                <w:rFonts w:cs="Arial"/>
              </w:rPr>
              <w:t>Providing accommodation for rough sleepers and provision of meals at an estimated additional cost of £532k (this is based on initial 3 month lockdown period and does not reflect potential future requirements for rough sleepers)</w:t>
            </w:r>
          </w:p>
          <w:p w:rsidR="00CC2D82" w:rsidRPr="006F7EBB" w:rsidRDefault="00CC2D82" w:rsidP="00CB1D9E">
            <w:pPr>
              <w:pStyle w:val="ListParagraph"/>
              <w:numPr>
                <w:ilvl w:val="0"/>
                <w:numId w:val="3"/>
              </w:numPr>
              <w:overflowPunct w:val="0"/>
              <w:autoSpaceDE w:val="0"/>
              <w:autoSpaceDN w:val="0"/>
              <w:adjustRightInd w:val="0"/>
              <w:spacing w:after="0"/>
              <w:contextualSpacing/>
              <w:textAlignment w:val="baseline"/>
              <w:rPr>
                <w:rFonts w:cs="Arial"/>
              </w:rPr>
            </w:pPr>
            <w:r w:rsidRPr="006F7EBB">
              <w:rPr>
                <w:rFonts w:cs="Arial"/>
              </w:rPr>
              <w:t>Additional one-off ICT software and equipment and mobile handsets to accommodate remote working £455k</w:t>
            </w:r>
          </w:p>
          <w:p w:rsidR="00CC2D82" w:rsidRPr="006F7EBB" w:rsidRDefault="00CC2D82" w:rsidP="00CB1D9E">
            <w:pPr>
              <w:pStyle w:val="ListParagraph"/>
              <w:numPr>
                <w:ilvl w:val="0"/>
                <w:numId w:val="3"/>
              </w:numPr>
              <w:overflowPunct w:val="0"/>
              <w:autoSpaceDE w:val="0"/>
              <w:autoSpaceDN w:val="0"/>
              <w:adjustRightInd w:val="0"/>
              <w:spacing w:after="0"/>
              <w:contextualSpacing/>
              <w:textAlignment w:val="baseline"/>
              <w:rPr>
                <w:rFonts w:cs="Arial"/>
              </w:rPr>
            </w:pPr>
            <w:r w:rsidRPr="006F7EBB">
              <w:rPr>
                <w:rFonts w:cs="Arial"/>
              </w:rPr>
              <w:t>Provision of food parcels and other costs in supporting vulnerable people through the locality hubs - £115k</w:t>
            </w:r>
          </w:p>
          <w:p w:rsidR="00CC2D82" w:rsidRPr="006F7EBB" w:rsidRDefault="00CC2D82" w:rsidP="00CB1D9E">
            <w:pPr>
              <w:pStyle w:val="ListParagraph"/>
              <w:numPr>
                <w:ilvl w:val="0"/>
                <w:numId w:val="3"/>
              </w:numPr>
              <w:overflowPunct w:val="0"/>
              <w:autoSpaceDE w:val="0"/>
              <w:autoSpaceDN w:val="0"/>
              <w:adjustRightInd w:val="0"/>
              <w:spacing w:after="0"/>
              <w:contextualSpacing/>
              <w:textAlignment w:val="baseline"/>
              <w:rPr>
                <w:rFonts w:cs="Arial"/>
              </w:rPr>
            </w:pPr>
            <w:r w:rsidRPr="006F7EBB">
              <w:rPr>
                <w:rFonts w:cs="Arial"/>
              </w:rPr>
              <w:t xml:space="preserve">One off additional costs in the Benefits Team to process increased numbers of Housing benefits claims and changes in circumstances. - £50k   </w:t>
            </w:r>
          </w:p>
          <w:p w:rsidR="00CC2D82" w:rsidRDefault="00CC2D82" w:rsidP="006D382B">
            <w:r>
              <w:rPr>
                <w:rFonts w:cs="Arial"/>
              </w:rPr>
              <w:lastRenderedPageBreak/>
              <w:t>Note: the date of decision relates to the principle of releasing additional funding. A number of financial orders were issued over a period of time spanning April and May 2020.</w:t>
            </w:r>
          </w:p>
        </w:tc>
      </w:tr>
      <w:tr w:rsidR="00CC2D82" w:rsidRPr="00C74FC0" w:rsidTr="00CC2D82">
        <w:tblPrEx>
          <w:tblCellMar>
            <w:top w:w="0" w:type="dxa"/>
            <w:left w:w="108" w:type="dxa"/>
            <w:right w:w="108" w:type="dxa"/>
          </w:tblCellMar>
          <w:tblLook w:val="04A0" w:firstRow="1" w:lastRow="0" w:firstColumn="1" w:lastColumn="0" w:noHBand="0" w:noVBand="1"/>
        </w:tblPrEx>
        <w:trPr>
          <w:gridAfter w:val="1"/>
          <w:wAfter w:w="115" w:type="dxa"/>
        </w:trPr>
        <w:tc>
          <w:tcPr>
            <w:tcW w:w="3664" w:type="dxa"/>
            <w:gridSpan w:val="3"/>
            <w:tcBorders>
              <w:top w:val="single" w:sz="4" w:space="0" w:color="auto"/>
              <w:left w:val="single" w:sz="4" w:space="0" w:color="auto"/>
              <w:bottom w:val="single" w:sz="4" w:space="0" w:color="auto"/>
              <w:right w:val="single" w:sz="4" w:space="0" w:color="auto"/>
            </w:tcBorders>
            <w:shd w:val="clear" w:color="auto" w:fill="auto"/>
          </w:tcPr>
          <w:p w:rsidR="00CC2D82" w:rsidRPr="00C74FC0" w:rsidRDefault="00CC2D82" w:rsidP="006D382B">
            <w:pPr>
              <w:pStyle w:val="Normal17"/>
              <w:jc w:val="both"/>
              <w:rPr>
                <w:b/>
                <w:bCs/>
                <w:szCs w:val="22"/>
              </w:rPr>
            </w:pPr>
            <w:r w:rsidRPr="00C74FC0">
              <w:rPr>
                <w:b/>
                <w:bCs/>
                <w:szCs w:val="22"/>
              </w:rPr>
              <w:lastRenderedPageBreak/>
              <w:t>Date decision made:</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C74FC0" w:rsidRDefault="00CC2D82" w:rsidP="006D382B">
            <w:pPr>
              <w:pStyle w:val="Normal17"/>
              <w:jc w:val="both"/>
            </w:pPr>
            <w:r>
              <w:rPr>
                <w:bdr w:val="nil"/>
              </w:rPr>
              <w:t>1 April 2020</w:t>
            </w:r>
            <w:r w:rsidRPr="00C74FC0">
              <w:t xml:space="preserve"> </w:t>
            </w:r>
          </w:p>
        </w:tc>
      </w:tr>
      <w:tr w:rsidR="00CC2D82" w:rsidRPr="00C74FC0" w:rsidTr="00CC2D82">
        <w:tblPrEx>
          <w:tblCellMar>
            <w:top w:w="0" w:type="dxa"/>
            <w:left w:w="108" w:type="dxa"/>
            <w:right w:w="108" w:type="dxa"/>
          </w:tblCellMar>
          <w:tblLook w:val="04A0" w:firstRow="1" w:lastRow="0" w:firstColumn="1" w:lastColumn="0" w:noHBand="0" w:noVBand="1"/>
        </w:tblPrEx>
        <w:trPr>
          <w:gridAfter w:val="1"/>
          <w:wAfter w:w="115" w:type="dxa"/>
        </w:trPr>
        <w:tc>
          <w:tcPr>
            <w:tcW w:w="3664" w:type="dxa"/>
            <w:gridSpan w:val="3"/>
            <w:tcBorders>
              <w:top w:val="single" w:sz="4" w:space="0" w:color="auto"/>
              <w:left w:val="single" w:sz="4" w:space="0" w:color="auto"/>
              <w:bottom w:val="single" w:sz="4" w:space="0" w:color="auto"/>
              <w:right w:val="single" w:sz="4" w:space="0" w:color="auto"/>
            </w:tcBorders>
            <w:shd w:val="clear" w:color="auto" w:fill="auto"/>
          </w:tcPr>
          <w:p w:rsidR="00CC2D82" w:rsidRPr="00C74FC0" w:rsidRDefault="00CC2D82" w:rsidP="006D382B">
            <w:pPr>
              <w:pStyle w:val="Normal17"/>
              <w:jc w:val="both"/>
              <w:rPr>
                <w:b/>
                <w:bCs/>
                <w:szCs w:val="22"/>
              </w:rPr>
            </w:pPr>
            <w:r w:rsidRPr="00C74FC0">
              <w:rPr>
                <w:b/>
                <w:bCs/>
                <w:szCs w:val="22"/>
              </w:rPr>
              <w:t>Decision taker</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C74FC0" w:rsidRDefault="005043A3" w:rsidP="006D382B">
            <w:pPr>
              <w:pStyle w:val="Normal17"/>
              <w:jc w:val="both"/>
            </w:pPr>
            <w:r>
              <w:rPr>
                <w:bdr w:val="nil"/>
              </w:rPr>
              <w:t>Head of Paid Service (</w:t>
            </w:r>
            <w:r w:rsidR="00CC2D82">
              <w:rPr>
                <w:bdr w:val="nil"/>
              </w:rPr>
              <w:t>Chief Executive</w:t>
            </w:r>
            <w:r>
              <w:rPr>
                <w:bdr w:val="nil"/>
              </w:rPr>
              <w:t>)</w:t>
            </w:r>
          </w:p>
        </w:tc>
      </w:tr>
      <w:tr w:rsidR="005043A3" w:rsidRPr="00C74FC0" w:rsidTr="00D40E6E">
        <w:tblPrEx>
          <w:tblCellMar>
            <w:top w:w="0" w:type="dxa"/>
            <w:left w:w="108" w:type="dxa"/>
            <w:right w:w="108" w:type="dxa"/>
          </w:tblCellMar>
          <w:tblLook w:val="04A0" w:firstRow="1" w:lastRow="0" w:firstColumn="1" w:lastColumn="0" w:noHBand="0" w:noVBand="1"/>
        </w:tblPrEx>
        <w:trPr>
          <w:gridAfter w:val="1"/>
          <w:wAfter w:w="115" w:type="dxa"/>
        </w:trPr>
        <w:tc>
          <w:tcPr>
            <w:tcW w:w="3664" w:type="dxa"/>
            <w:gridSpan w:val="3"/>
            <w:shd w:val="clear" w:color="auto" w:fill="auto"/>
          </w:tcPr>
          <w:p w:rsidR="005043A3" w:rsidRPr="005043A3" w:rsidRDefault="005043A3" w:rsidP="005043A3">
            <w:pPr>
              <w:spacing w:before="120"/>
              <w:rPr>
                <w:rFonts w:cs="Arial"/>
                <w:sz w:val="22"/>
                <w:szCs w:val="22"/>
              </w:rPr>
            </w:pPr>
            <w:r w:rsidRPr="005043A3">
              <w:rPr>
                <w:rFonts w:cs="Arial"/>
                <w:b/>
                <w:sz w:val="22"/>
                <w:szCs w:val="22"/>
              </w:rPr>
              <w:t>Was the decision taken under emergency or urgency rules?</w:t>
            </w:r>
          </w:p>
        </w:tc>
        <w:tc>
          <w:tcPr>
            <w:tcW w:w="5387" w:type="dxa"/>
            <w:gridSpan w:val="2"/>
            <w:shd w:val="clear" w:color="auto" w:fill="auto"/>
          </w:tcPr>
          <w:p w:rsidR="005043A3" w:rsidRDefault="005043A3" w:rsidP="005043A3">
            <w:pPr>
              <w:rPr>
                <w:rFonts w:cs="Arial"/>
                <w:sz w:val="22"/>
                <w:szCs w:val="22"/>
              </w:rPr>
            </w:pPr>
          </w:p>
          <w:p w:rsidR="005043A3" w:rsidRPr="005043A3" w:rsidRDefault="005043A3" w:rsidP="005043A3">
            <w:pPr>
              <w:rPr>
                <w:rFonts w:cs="Arial"/>
                <w:sz w:val="22"/>
                <w:szCs w:val="22"/>
              </w:rPr>
            </w:pPr>
            <w:r w:rsidRPr="005043A3">
              <w:rPr>
                <w:rFonts w:cs="Arial"/>
                <w:sz w:val="22"/>
                <w:szCs w:val="22"/>
              </w:rPr>
              <w:t>Emergency</w:t>
            </w:r>
            <w:r>
              <w:rPr>
                <w:rFonts w:cs="Arial"/>
                <w:sz w:val="22"/>
                <w:szCs w:val="22"/>
              </w:rPr>
              <w:t xml:space="preserve"> – Constitution Part </w:t>
            </w:r>
            <w:r w:rsidR="00D23270">
              <w:rPr>
                <w:rFonts w:cs="Arial"/>
                <w:sz w:val="22"/>
                <w:szCs w:val="22"/>
              </w:rPr>
              <w:t>9.3(c</w:t>
            </w:r>
            <w:r>
              <w:rPr>
                <w:rFonts w:cs="Arial"/>
                <w:sz w:val="22"/>
                <w:szCs w:val="22"/>
              </w:rPr>
              <w:t>)</w:t>
            </w:r>
          </w:p>
        </w:tc>
      </w:tr>
      <w:tr w:rsidR="00CC2D82" w:rsidRPr="00C74FC0" w:rsidTr="00CC2D82">
        <w:tblPrEx>
          <w:tblCellMar>
            <w:top w:w="0" w:type="dxa"/>
            <w:left w:w="108" w:type="dxa"/>
            <w:right w:w="108" w:type="dxa"/>
          </w:tblCellMar>
          <w:tblLook w:val="04A0" w:firstRow="1" w:lastRow="0" w:firstColumn="1" w:lastColumn="0" w:noHBand="0" w:noVBand="1"/>
        </w:tblPrEx>
        <w:trPr>
          <w:gridAfter w:val="1"/>
          <w:wAfter w:w="115" w:type="dxa"/>
        </w:trPr>
        <w:tc>
          <w:tcPr>
            <w:tcW w:w="3664" w:type="dxa"/>
            <w:gridSpan w:val="3"/>
            <w:tcBorders>
              <w:top w:val="single" w:sz="4" w:space="0" w:color="auto"/>
              <w:left w:val="single" w:sz="4" w:space="0" w:color="auto"/>
              <w:bottom w:val="single" w:sz="4" w:space="0" w:color="auto"/>
              <w:right w:val="single" w:sz="4" w:space="0" w:color="auto"/>
            </w:tcBorders>
            <w:shd w:val="clear" w:color="auto" w:fill="auto"/>
          </w:tcPr>
          <w:p w:rsidR="00CC2D82" w:rsidRPr="00C74FC0" w:rsidRDefault="005043A3" w:rsidP="006D382B">
            <w:pPr>
              <w:pStyle w:val="Normal17"/>
              <w:jc w:val="both"/>
              <w:rPr>
                <w:b/>
                <w:bCs/>
                <w:szCs w:val="22"/>
              </w:rPr>
            </w:pPr>
            <w:r>
              <w:rPr>
                <w:b/>
                <w:bCs/>
                <w:szCs w:val="22"/>
              </w:rPr>
              <w:t>Is this a Key Decision?</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C74FC0" w:rsidRDefault="00CC2D82" w:rsidP="006D382B">
            <w:pPr>
              <w:pStyle w:val="Normal17"/>
              <w:jc w:val="both"/>
              <w:rPr>
                <w:bCs/>
                <w:szCs w:val="22"/>
              </w:rPr>
            </w:pPr>
            <w:r>
              <w:rPr>
                <w:bCs/>
                <w:szCs w:val="22"/>
                <w:bdr w:val="nil"/>
              </w:rPr>
              <w:t>Yes</w:t>
            </w:r>
            <w:r w:rsidRPr="00C74FC0">
              <w:rPr>
                <w:bCs/>
                <w:szCs w:val="22"/>
              </w:rPr>
              <w:t xml:space="preserve"> </w:t>
            </w:r>
          </w:p>
        </w:tc>
      </w:tr>
      <w:tr w:rsidR="005043A3" w:rsidTr="00CC2D82">
        <w:tblPrEx>
          <w:tblCellMar>
            <w:top w:w="0" w:type="dxa"/>
            <w:left w:w="108" w:type="dxa"/>
            <w:right w:w="108" w:type="dxa"/>
          </w:tblCellMar>
          <w:tblLook w:val="04A0" w:firstRow="1" w:lastRow="0" w:firstColumn="1" w:lastColumn="0" w:noHBand="0" w:noVBand="1"/>
        </w:tblPrEx>
        <w:trPr>
          <w:gridAfter w:val="1"/>
          <w:wAfter w:w="115" w:type="dxa"/>
        </w:trPr>
        <w:tc>
          <w:tcPr>
            <w:tcW w:w="3664" w:type="dxa"/>
            <w:gridSpan w:val="3"/>
            <w:tcBorders>
              <w:top w:val="single" w:sz="4" w:space="0" w:color="auto"/>
              <w:left w:val="single" w:sz="4" w:space="0" w:color="auto"/>
              <w:bottom w:val="single" w:sz="4" w:space="0" w:color="auto"/>
              <w:right w:val="single" w:sz="4" w:space="0" w:color="auto"/>
            </w:tcBorders>
            <w:shd w:val="clear" w:color="auto" w:fill="auto"/>
          </w:tcPr>
          <w:p w:rsidR="005043A3" w:rsidRPr="00C74FC0" w:rsidRDefault="005043A3" w:rsidP="006D382B">
            <w:pPr>
              <w:pStyle w:val="Normal17"/>
              <w:jc w:val="both"/>
              <w:rPr>
                <w:b/>
                <w:bCs/>
                <w:szCs w:val="22"/>
              </w:rPr>
            </w:pPr>
            <w:r>
              <w:rPr>
                <w:b/>
                <w:bCs/>
                <w:szCs w:val="22"/>
              </w:rPr>
              <w:t>Reasons for decision</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5043A3" w:rsidRPr="005043A3" w:rsidRDefault="00D23270" w:rsidP="006D382B">
            <w:pPr>
              <w:rPr>
                <w:rFonts w:cs="Arial"/>
                <w:sz w:val="22"/>
                <w:szCs w:val="22"/>
              </w:rPr>
            </w:pPr>
            <w:r>
              <w:rPr>
                <w:rFonts w:cs="Arial"/>
                <w:sz w:val="22"/>
                <w:szCs w:val="22"/>
              </w:rPr>
              <w:t>T</w:t>
            </w:r>
            <w:r w:rsidRPr="00D23270">
              <w:rPr>
                <w:rFonts w:cs="Arial"/>
                <w:sz w:val="22"/>
                <w:szCs w:val="22"/>
              </w:rPr>
              <w:t>o fund the Council’s response to the Covid 19 pandemic</w:t>
            </w:r>
            <w:r w:rsidR="00821101">
              <w:rPr>
                <w:rFonts w:cs="Arial"/>
                <w:sz w:val="22"/>
                <w:szCs w:val="22"/>
              </w:rPr>
              <w:t>.</w:t>
            </w:r>
          </w:p>
        </w:tc>
      </w:tr>
      <w:tr w:rsidR="00CC2D82" w:rsidTr="00CC2D82">
        <w:tblPrEx>
          <w:tblCellMar>
            <w:top w:w="0" w:type="dxa"/>
            <w:left w:w="108" w:type="dxa"/>
            <w:right w:w="108" w:type="dxa"/>
          </w:tblCellMar>
          <w:tblLook w:val="04A0" w:firstRow="1" w:lastRow="0" w:firstColumn="1" w:lastColumn="0" w:noHBand="0" w:noVBand="1"/>
        </w:tblPrEx>
        <w:trPr>
          <w:gridAfter w:val="1"/>
          <w:wAfter w:w="115" w:type="dxa"/>
        </w:trPr>
        <w:tc>
          <w:tcPr>
            <w:tcW w:w="3664" w:type="dxa"/>
            <w:gridSpan w:val="3"/>
            <w:tcBorders>
              <w:top w:val="single" w:sz="4" w:space="0" w:color="auto"/>
              <w:left w:val="single" w:sz="4" w:space="0" w:color="auto"/>
              <w:bottom w:val="single" w:sz="4" w:space="0" w:color="auto"/>
              <w:right w:val="single" w:sz="4" w:space="0" w:color="auto"/>
            </w:tcBorders>
            <w:shd w:val="clear" w:color="auto" w:fill="auto"/>
          </w:tcPr>
          <w:p w:rsidR="00CC2D82" w:rsidRPr="00C74FC0" w:rsidRDefault="00CC2D82" w:rsidP="006D382B">
            <w:pPr>
              <w:pStyle w:val="Normal17"/>
              <w:jc w:val="both"/>
              <w:rPr>
                <w:b/>
                <w:bCs/>
                <w:szCs w:val="22"/>
              </w:rPr>
            </w:pPr>
            <w:r w:rsidRPr="00C74FC0">
              <w:rPr>
                <w:b/>
                <w:bCs/>
                <w:szCs w:val="22"/>
              </w:rPr>
              <w:t>Alternative options considered:</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5043A3" w:rsidRDefault="00CC2D82" w:rsidP="006D382B">
            <w:pPr>
              <w:rPr>
                <w:sz w:val="22"/>
                <w:szCs w:val="22"/>
              </w:rPr>
            </w:pPr>
            <w:r w:rsidRPr="005043A3">
              <w:rPr>
                <w:rFonts w:cs="Arial"/>
                <w:sz w:val="22"/>
                <w:szCs w:val="22"/>
              </w:rPr>
              <w:t>To delay committing expenditure until the normal authority could be secured from Cabinet and Council would have been detrimental to the Council’s response to the Covid 19 pandemic.</w:t>
            </w:r>
          </w:p>
        </w:tc>
      </w:tr>
      <w:tr w:rsidR="00CC2D82" w:rsidRPr="00C74FC0" w:rsidTr="00CC2D82">
        <w:tblPrEx>
          <w:tblCellMar>
            <w:top w:w="0" w:type="dxa"/>
            <w:left w:w="108" w:type="dxa"/>
            <w:right w:w="108" w:type="dxa"/>
          </w:tblCellMar>
          <w:tblLook w:val="04A0" w:firstRow="1" w:lastRow="0" w:firstColumn="1" w:lastColumn="0" w:noHBand="0" w:noVBand="1"/>
        </w:tblPrEx>
        <w:trPr>
          <w:gridAfter w:val="1"/>
          <w:wAfter w:w="115" w:type="dxa"/>
        </w:trPr>
        <w:tc>
          <w:tcPr>
            <w:tcW w:w="3664" w:type="dxa"/>
            <w:gridSpan w:val="3"/>
            <w:tcBorders>
              <w:top w:val="single" w:sz="4" w:space="0" w:color="auto"/>
              <w:left w:val="single" w:sz="4" w:space="0" w:color="auto"/>
              <w:bottom w:val="single" w:sz="4" w:space="0" w:color="auto"/>
              <w:right w:val="single" w:sz="4" w:space="0" w:color="auto"/>
            </w:tcBorders>
            <w:shd w:val="clear" w:color="auto" w:fill="auto"/>
          </w:tcPr>
          <w:p w:rsidR="00CC2D82" w:rsidRPr="00C74FC0" w:rsidRDefault="00CC2D82" w:rsidP="006D382B">
            <w:pPr>
              <w:pStyle w:val="Normal17"/>
              <w:jc w:val="both"/>
              <w:rPr>
                <w:b/>
                <w:bCs/>
                <w:szCs w:val="22"/>
              </w:rPr>
            </w:pPr>
            <w:r w:rsidRPr="00C74FC0">
              <w:rPr>
                <w:b/>
                <w:bCs/>
                <w:szCs w:val="22"/>
              </w:rPr>
              <w:t>Wards</w:t>
            </w:r>
            <w:r w:rsidR="005043A3">
              <w:rPr>
                <w:b/>
                <w:bCs/>
                <w:szCs w:val="22"/>
              </w:rPr>
              <w:t xml:space="preserve"> significantly</w:t>
            </w:r>
            <w:r w:rsidRPr="00C74FC0">
              <w:rPr>
                <w:b/>
                <w:bCs/>
                <w:szCs w:val="22"/>
              </w:rPr>
              <w:t xml:space="preserve"> affected</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C74FC0" w:rsidRDefault="00CC2D82" w:rsidP="006D382B">
            <w:pPr>
              <w:pStyle w:val="Normal17"/>
              <w:jc w:val="both"/>
            </w:pPr>
            <w:r>
              <w:t>None</w:t>
            </w:r>
          </w:p>
        </w:tc>
      </w:tr>
      <w:tr w:rsidR="00CC2D82" w:rsidRPr="00C74FC0" w:rsidTr="00CC2D82">
        <w:tblPrEx>
          <w:tblCellMar>
            <w:top w:w="0" w:type="dxa"/>
            <w:left w:w="108" w:type="dxa"/>
            <w:right w:w="108" w:type="dxa"/>
          </w:tblCellMar>
          <w:tblLook w:val="04A0" w:firstRow="1" w:lastRow="0" w:firstColumn="1" w:lastColumn="0" w:noHBand="0" w:noVBand="1"/>
        </w:tblPrEx>
        <w:trPr>
          <w:gridAfter w:val="1"/>
          <w:wAfter w:w="115" w:type="dxa"/>
        </w:trPr>
        <w:tc>
          <w:tcPr>
            <w:tcW w:w="3664" w:type="dxa"/>
            <w:gridSpan w:val="3"/>
            <w:tcBorders>
              <w:top w:val="single" w:sz="4" w:space="0" w:color="auto"/>
              <w:left w:val="single" w:sz="4" w:space="0" w:color="auto"/>
              <w:bottom w:val="single" w:sz="4" w:space="0" w:color="auto"/>
              <w:right w:val="single" w:sz="4" w:space="0" w:color="auto"/>
            </w:tcBorders>
            <w:shd w:val="clear" w:color="auto" w:fill="auto"/>
          </w:tcPr>
          <w:p w:rsidR="00CC2D82" w:rsidRPr="00C74FC0" w:rsidRDefault="00CC2D82" w:rsidP="006D382B">
            <w:pPr>
              <w:pStyle w:val="Normal17"/>
              <w:jc w:val="both"/>
              <w:rPr>
                <w:b/>
                <w:bCs/>
                <w:szCs w:val="22"/>
              </w:rPr>
            </w:pPr>
            <w:r w:rsidRPr="00C74FC0">
              <w:rPr>
                <w:b/>
                <w:bCs/>
                <w:szCs w:val="22"/>
              </w:rPr>
              <w:t>Declared conflict of interest:</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C74FC0" w:rsidRDefault="00CC2D82" w:rsidP="006D382B">
            <w:pPr>
              <w:pStyle w:val="Normal17"/>
              <w:jc w:val="both"/>
              <w:rPr>
                <w:bCs/>
                <w:szCs w:val="22"/>
              </w:rPr>
            </w:pPr>
            <w:r w:rsidRPr="00C74FC0">
              <w:t>None</w:t>
            </w:r>
          </w:p>
        </w:tc>
      </w:tr>
      <w:tr w:rsidR="00ED0FD4" w:rsidRPr="00C74FC0" w:rsidTr="00CC2D82">
        <w:tblPrEx>
          <w:tblCellMar>
            <w:top w:w="0" w:type="dxa"/>
            <w:left w:w="108" w:type="dxa"/>
            <w:right w:w="108" w:type="dxa"/>
          </w:tblCellMar>
          <w:tblLook w:val="04A0" w:firstRow="1" w:lastRow="0" w:firstColumn="1" w:lastColumn="0" w:noHBand="0" w:noVBand="1"/>
        </w:tblPrEx>
        <w:trPr>
          <w:gridBefore w:val="1"/>
          <w:wBefore w:w="115" w:type="dxa"/>
        </w:trPr>
        <w:tc>
          <w:tcPr>
            <w:tcW w:w="4633" w:type="dxa"/>
            <w:gridSpan w:val="3"/>
            <w:tcBorders>
              <w:top w:val="nil"/>
              <w:left w:val="nil"/>
              <w:bottom w:val="nil"/>
              <w:right w:val="nil"/>
            </w:tcBorders>
            <w:shd w:val="clear" w:color="auto" w:fill="auto"/>
          </w:tcPr>
          <w:p w:rsidR="00ED0FD4" w:rsidRDefault="00ED0FD4" w:rsidP="006D382B">
            <w:pPr>
              <w:pStyle w:val="Normal15"/>
              <w:jc w:val="both"/>
              <w:rPr>
                <w:b/>
                <w:bCs/>
                <w:szCs w:val="22"/>
              </w:rPr>
            </w:pPr>
          </w:p>
          <w:p w:rsidR="00CC2D82" w:rsidRPr="00C74FC0" w:rsidRDefault="00CC2D82" w:rsidP="006D382B">
            <w:pPr>
              <w:pStyle w:val="Normal15"/>
              <w:jc w:val="both"/>
              <w:rPr>
                <w:b/>
                <w:bCs/>
                <w:szCs w:val="22"/>
              </w:rPr>
            </w:pPr>
          </w:p>
        </w:tc>
        <w:tc>
          <w:tcPr>
            <w:tcW w:w="4418" w:type="dxa"/>
            <w:gridSpan w:val="2"/>
            <w:tcBorders>
              <w:top w:val="nil"/>
              <w:left w:val="nil"/>
              <w:bottom w:val="nil"/>
              <w:right w:val="nil"/>
            </w:tcBorders>
            <w:shd w:val="clear" w:color="auto" w:fill="auto"/>
          </w:tcPr>
          <w:p w:rsidR="00ED0FD4" w:rsidRDefault="00ED0FD4" w:rsidP="006D382B">
            <w:pPr>
              <w:pStyle w:val="Normal15"/>
              <w:jc w:val="both"/>
            </w:pPr>
          </w:p>
          <w:p w:rsidR="00ED0FD4" w:rsidRDefault="00ED0FD4" w:rsidP="006D382B">
            <w:pPr>
              <w:pStyle w:val="Normal15"/>
              <w:jc w:val="both"/>
            </w:pPr>
          </w:p>
          <w:p w:rsidR="00ED0FD4" w:rsidRPr="00C74FC0" w:rsidRDefault="00ED0FD4" w:rsidP="006D382B">
            <w:pPr>
              <w:pStyle w:val="Normal15"/>
              <w:jc w:val="both"/>
            </w:pPr>
          </w:p>
        </w:tc>
      </w:tr>
    </w:tbl>
    <w:p w:rsidR="00ED0FD4" w:rsidRDefault="00ED0FD4" w:rsidP="00ED0FD4">
      <w:pPr>
        <w:rPr>
          <w:vanish/>
        </w:rPr>
      </w:pPr>
      <w:r>
        <w:rPr>
          <w:vanish/>
        </w:rPr>
        <w:t>&lt;/PI3&gt;</w:t>
      </w:r>
    </w:p>
    <w:p w:rsidR="00ED0FD4" w:rsidRDefault="00ED0FD4" w:rsidP="00ED0FD4">
      <w:pPr>
        <w:rPr>
          <w:vanish/>
        </w:rPr>
      </w:pPr>
      <w:r>
        <w:rPr>
          <w:vanish/>
        </w:rPr>
        <w:t>&lt;PI4&gt;</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279"/>
        <w:gridCol w:w="2527"/>
        <w:gridCol w:w="5267"/>
      </w:tblGrid>
      <w:tr w:rsidR="00ED0FD4" w:rsidRPr="00C74FC0" w:rsidTr="00CC2D82">
        <w:tc>
          <w:tcPr>
            <w:tcW w:w="1279" w:type="dxa"/>
            <w:noWrap/>
          </w:tcPr>
          <w:p w:rsidR="00ED0FD4" w:rsidRPr="005C1B66" w:rsidRDefault="00ED0FD4" w:rsidP="006D382B">
            <w:pPr>
              <w:pStyle w:val="Normal16"/>
              <w:overflowPunct/>
              <w:autoSpaceDE/>
              <w:autoSpaceDN/>
              <w:adjustRightInd/>
              <w:textAlignment w:val="auto"/>
              <w:rPr>
                <w:b/>
              </w:rPr>
            </w:pPr>
            <w:r>
              <w:rPr>
                <w:b/>
                <w:bdr w:val="nil"/>
              </w:rPr>
              <w:t xml:space="preserve">ITEM </w:t>
            </w:r>
            <w:r w:rsidR="00CC2D82">
              <w:rPr>
                <w:b/>
                <w:bdr w:val="nil"/>
              </w:rPr>
              <w:t>2</w:t>
            </w:r>
          </w:p>
        </w:tc>
        <w:tc>
          <w:tcPr>
            <w:tcW w:w="7794" w:type="dxa"/>
            <w:gridSpan w:val="2"/>
          </w:tcPr>
          <w:p w:rsidR="00ED0FD4" w:rsidRPr="00C74FC0" w:rsidRDefault="00ED0FD4" w:rsidP="006D382B">
            <w:pPr>
              <w:pStyle w:val="Normal16"/>
              <w:jc w:val="both"/>
              <w:rPr>
                <w:rFonts w:ascii="Arial Bold" w:hAnsi="Arial Bold"/>
                <w:b/>
                <w:bCs/>
                <w:caps/>
                <w:szCs w:val="22"/>
              </w:rPr>
            </w:pPr>
            <w:r>
              <w:rPr>
                <w:rFonts w:ascii="Arial Bold" w:hAnsi="Arial Bold"/>
                <w:b/>
                <w:bCs/>
                <w:caps/>
                <w:szCs w:val="22"/>
                <w:bdr w:val="nil"/>
              </w:rPr>
              <w:t xml:space="preserve">Payment of Oxford Direct Services Limited (ODSL) for </w:t>
            </w:r>
            <w:r w:rsidR="00821101">
              <w:rPr>
                <w:rFonts w:ascii="Arial Bold" w:hAnsi="Arial Bold"/>
                <w:b/>
                <w:bCs/>
                <w:caps/>
                <w:szCs w:val="22"/>
                <w:bdr w:val="nil"/>
              </w:rPr>
              <w:t>Services Contract During Corona</w:t>
            </w:r>
            <w:r>
              <w:rPr>
                <w:rFonts w:ascii="Arial Bold" w:hAnsi="Arial Bold"/>
                <w:b/>
                <w:bCs/>
                <w:caps/>
                <w:szCs w:val="22"/>
                <w:bdr w:val="nil"/>
              </w:rPr>
              <w:t>Virus restrictions</w:t>
            </w:r>
          </w:p>
          <w:p w:rsidR="00ED0FD4" w:rsidRPr="00C74FC0" w:rsidRDefault="00ED0FD4" w:rsidP="006D382B">
            <w:pPr>
              <w:pStyle w:val="Normal16"/>
              <w:jc w:val="both"/>
              <w:rPr>
                <w:rFonts w:ascii="Arial Bold" w:hAnsi="Arial Bold"/>
                <w:b/>
                <w:caps/>
              </w:rPr>
            </w:pPr>
          </w:p>
        </w:tc>
      </w:tr>
      <w:tr w:rsidR="00ED0FD4" w:rsidTr="00CC2D82">
        <w:tblPrEx>
          <w:tblCellMar>
            <w:top w:w="0" w:type="dxa"/>
            <w:left w:w="108" w:type="dxa"/>
            <w:right w:w="108" w:type="dxa"/>
          </w:tblCellMar>
          <w:tblLook w:val="04A0" w:firstRow="1" w:lastRow="0" w:firstColumn="1" w:lastColumn="0" w:noHBand="0" w:noVBand="1"/>
        </w:tblPrEx>
        <w:tc>
          <w:tcPr>
            <w:tcW w:w="9073" w:type="dxa"/>
            <w:gridSpan w:val="3"/>
            <w:tcBorders>
              <w:top w:val="single" w:sz="4" w:space="0" w:color="auto"/>
              <w:left w:val="single" w:sz="4" w:space="0" w:color="auto"/>
              <w:bottom w:val="single" w:sz="4" w:space="0" w:color="auto"/>
              <w:right w:val="single" w:sz="4" w:space="0" w:color="auto"/>
            </w:tcBorders>
            <w:shd w:val="clear" w:color="auto" w:fill="auto"/>
          </w:tcPr>
          <w:p w:rsidR="00ED0FD4" w:rsidRPr="00821101" w:rsidRDefault="00ED0FD4" w:rsidP="006D382B">
            <w:pPr>
              <w:pStyle w:val="Normal16"/>
              <w:jc w:val="both"/>
              <w:rPr>
                <w:bCs/>
                <w:szCs w:val="22"/>
              </w:rPr>
            </w:pPr>
            <w:r w:rsidRPr="00821101">
              <w:rPr>
                <w:b/>
                <w:bCs/>
                <w:szCs w:val="22"/>
              </w:rPr>
              <w:t xml:space="preserve">Decision: </w:t>
            </w:r>
          </w:p>
          <w:p w:rsidR="00ED0FD4" w:rsidRPr="00821101" w:rsidRDefault="00ED0FD4" w:rsidP="006D382B">
            <w:pPr>
              <w:rPr>
                <w:rFonts w:cs="Arial"/>
                <w:sz w:val="22"/>
                <w:szCs w:val="22"/>
              </w:rPr>
            </w:pPr>
            <w:r w:rsidRPr="00821101">
              <w:rPr>
                <w:rFonts w:cs="Arial"/>
                <w:sz w:val="22"/>
                <w:szCs w:val="22"/>
              </w:rPr>
              <w:t>To pay Oxford Direct Services Limited (ODSL) on an at cost basis for the period of the disruption.</w:t>
            </w:r>
          </w:p>
          <w:p w:rsidR="00ED0FD4" w:rsidRPr="00821101" w:rsidRDefault="00ED0FD4" w:rsidP="006D382B">
            <w:pPr>
              <w:rPr>
                <w:rFonts w:cs="Arial"/>
                <w:sz w:val="22"/>
                <w:szCs w:val="22"/>
              </w:rPr>
            </w:pPr>
            <w:r w:rsidRPr="00821101">
              <w:rPr>
                <w:rFonts w:cs="Arial"/>
                <w:sz w:val="22"/>
                <w:szCs w:val="22"/>
              </w:rPr>
              <w:t>ODSL to mitigate costs through furloughing staff, reducing agency and vacancy control.</w:t>
            </w:r>
          </w:p>
          <w:p w:rsidR="00ED0FD4" w:rsidRDefault="00ED0FD4" w:rsidP="006D382B">
            <w:pPr>
              <w:rPr>
                <w:rFonts w:cs="Arial"/>
              </w:rPr>
            </w:pPr>
            <w:r w:rsidRPr="00821101">
              <w:rPr>
                <w:rFonts w:cs="Arial"/>
                <w:sz w:val="22"/>
                <w:szCs w:val="22"/>
              </w:rPr>
              <w:t>ODSL to rebate to Oxford City Council furlough income and savings from fuel and materials</w:t>
            </w:r>
          </w:p>
        </w:tc>
      </w:tr>
      <w:tr w:rsidR="00ED0FD4" w:rsidRPr="00C74FC0" w:rsidTr="00CC2D82">
        <w:tblPrEx>
          <w:tblCellMar>
            <w:top w:w="0" w:type="dxa"/>
            <w:left w:w="108" w:type="dxa"/>
            <w:right w:w="108" w:type="dxa"/>
          </w:tblCellMar>
          <w:tblLook w:val="04A0" w:firstRow="1" w:lastRow="0" w:firstColumn="1" w:lastColumn="0" w:noHBand="0" w:noVBand="1"/>
        </w:tblPrEx>
        <w:tc>
          <w:tcPr>
            <w:tcW w:w="3806" w:type="dxa"/>
            <w:gridSpan w:val="2"/>
            <w:tcBorders>
              <w:top w:val="single" w:sz="4" w:space="0" w:color="auto"/>
              <w:left w:val="single" w:sz="4" w:space="0" w:color="auto"/>
              <w:bottom w:val="single" w:sz="4" w:space="0" w:color="auto"/>
              <w:right w:val="single" w:sz="4" w:space="0" w:color="auto"/>
            </w:tcBorders>
            <w:shd w:val="clear" w:color="auto" w:fill="auto"/>
          </w:tcPr>
          <w:p w:rsidR="00ED0FD4" w:rsidRPr="00C74FC0" w:rsidRDefault="00ED0FD4" w:rsidP="006D382B">
            <w:pPr>
              <w:pStyle w:val="Normal16"/>
              <w:jc w:val="both"/>
              <w:rPr>
                <w:b/>
                <w:bCs/>
                <w:szCs w:val="22"/>
              </w:rPr>
            </w:pPr>
            <w:r w:rsidRPr="00C74FC0">
              <w:rPr>
                <w:b/>
                <w:bCs/>
                <w:szCs w:val="22"/>
              </w:rPr>
              <w:t>Date decision made:</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ED0FD4" w:rsidRPr="00C74FC0" w:rsidRDefault="00ED0FD4" w:rsidP="006D382B">
            <w:pPr>
              <w:pStyle w:val="Normal16"/>
              <w:jc w:val="both"/>
            </w:pPr>
            <w:r>
              <w:rPr>
                <w:bdr w:val="nil"/>
              </w:rPr>
              <w:t>12 May 2020</w:t>
            </w:r>
            <w:r w:rsidRPr="00C74FC0">
              <w:t xml:space="preserve"> </w:t>
            </w:r>
          </w:p>
        </w:tc>
      </w:tr>
      <w:tr w:rsidR="00ED0FD4" w:rsidRPr="00C74FC0" w:rsidTr="00CC2D82">
        <w:tblPrEx>
          <w:tblCellMar>
            <w:top w:w="0" w:type="dxa"/>
            <w:left w:w="108" w:type="dxa"/>
            <w:right w:w="108" w:type="dxa"/>
          </w:tblCellMar>
          <w:tblLook w:val="04A0" w:firstRow="1" w:lastRow="0" w:firstColumn="1" w:lastColumn="0" w:noHBand="0" w:noVBand="1"/>
        </w:tblPrEx>
        <w:tc>
          <w:tcPr>
            <w:tcW w:w="3806" w:type="dxa"/>
            <w:gridSpan w:val="2"/>
            <w:tcBorders>
              <w:top w:val="single" w:sz="4" w:space="0" w:color="auto"/>
              <w:left w:val="single" w:sz="4" w:space="0" w:color="auto"/>
              <w:bottom w:val="single" w:sz="4" w:space="0" w:color="auto"/>
              <w:right w:val="single" w:sz="4" w:space="0" w:color="auto"/>
            </w:tcBorders>
            <w:shd w:val="clear" w:color="auto" w:fill="auto"/>
          </w:tcPr>
          <w:p w:rsidR="00ED0FD4" w:rsidRPr="00C74FC0" w:rsidRDefault="00ED0FD4" w:rsidP="006D382B">
            <w:pPr>
              <w:pStyle w:val="Normal16"/>
              <w:jc w:val="both"/>
              <w:rPr>
                <w:b/>
                <w:bCs/>
                <w:szCs w:val="22"/>
              </w:rPr>
            </w:pPr>
            <w:r w:rsidRPr="00C74FC0">
              <w:rPr>
                <w:b/>
                <w:bCs/>
                <w:szCs w:val="22"/>
              </w:rPr>
              <w:t>Decision taker</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ED0FD4" w:rsidRPr="00C74FC0" w:rsidRDefault="005043A3" w:rsidP="006D382B">
            <w:pPr>
              <w:pStyle w:val="Normal16"/>
              <w:jc w:val="both"/>
            </w:pPr>
            <w:r>
              <w:rPr>
                <w:bdr w:val="nil"/>
              </w:rPr>
              <w:t>Head of Paid Service (</w:t>
            </w:r>
            <w:r w:rsidR="00ED0FD4">
              <w:rPr>
                <w:bdr w:val="nil"/>
              </w:rPr>
              <w:t>Chief Executive</w:t>
            </w:r>
            <w:r>
              <w:rPr>
                <w:bdr w:val="nil"/>
              </w:rPr>
              <w:t>)</w:t>
            </w:r>
          </w:p>
        </w:tc>
      </w:tr>
      <w:tr w:rsidR="00D23270" w:rsidRPr="00C74FC0" w:rsidTr="007C2989">
        <w:tblPrEx>
          <w:tblCellMar>
            <w:top w:w="0" w:type="dxa"/>
            <w:left w:w="108" w:type="dxa"/>
            <w:right w:w="108" w:type="dxa"/>
          </w:tblCellMar>
          <w:tblLook w:val="04A0" w:firstRow="1" w:lastRow="0" w:firstColumn="1" w:lastColumn="0" w:noHBand="0" w:noVBand="1"/>
        </w:tblPrEx>
        <w:tc>
          <w:tcPr>
            <w:tcW w:w="3806" w:type="dxa"/>
            <w:gridSpan w:val="2"/>
            <w:shd w:val="clear" w:color="auto" w:fill="auto"/>
          </w:tcPr>
          <w:p w:rsidR="00D23270" w:rsidRPr="005043A3" w:rsidRDefault="00D23270" w:rsidP="00D23270">
            <w:pPr>
              <w:spacing w:before="120"/>
              <w:rPr>
                <w:rFonts w:cs="Arial"/>
                <w:sz w:val="22"/>
                <w:szCs w:val="22"/>
              </w:rPr>
            </w:pPr>
            <w:r w:rsidRPr="005043A3">
              <w:rPr>
                <w:rFonts w:cs="Arial"/>
                <w:b/>
                <w:sz w:val="22"/>
                <w:szCs w:val="22"/>
              </w:rPr>
              <w:t>Was the decision taken under emergency or urgency rules?</w:t>
            </w:r>
          </w:p>
        </w:tc>
        <w:tc>
          <w:tcPr>
            <w:tcW w:w="5267" w:type="dxa"/>
            <w:shd w:val="clear" w:color="auto" w:fill="auto"/>
          </w:tcPr>
          <w:p w:rsidR="00D23270" w:rsidRPr="00821101" w:rsidRDefault="00D23270" w:rsidP="00D23270">
            <w:pPr>
              <w:rPr>
                <w:rFonts w:cs="Arial"/>
                <w:sz w:val="8"/>
                <w:szCs w:val="8"/>
              </w:rPr>
            </w:pPr>
          </w:p>
          <w:p w:rsidR="00D23270" w:rsidRPr="005043A3" w:rsidRDefault="00D23270" w:rsidP="00D23270">
            <w:pPr>
              <w:rPr>
                <w:rFonts w:cs="Arial"/>
                <w:sz w:val="22"/>
                <w:szCs w:val="22"/>
              </w:rPr>
            </w:pPr>
            <w:r w:rsidRPr="005043A3">
              <w:rPr>
                <w:rFonts w:cs="Arial"/>
                <w:sz w:val="22"/>
                <w:szCs w:val="22"/>
              </w:rPr>
              <w:t>Emergency</w:t>
            </w:r>
            <w:r>
              <w:rPr>
                <w:rFonts w:cs="Arial"/>
                <w:sz w:val="22"/>
                <w:szCs w:val="22"/>
              </w:rPr>
              <w:t xml:space="preserve"> – Constitution Part 9.3(c)</w:t>
            </w:r>
          </w:p>
        </w:tc>
      </w:tr>
      <w:tr w:rsidR="00ED0FD4" w:rsidRPr="00C74FC0" w:rsidTr="00CC2D82">
        <w:tblPrEx>
          <w:tblCellMar>
            <w:top w:w="0" w:type="dxa"/>
            <w:left w:w="108" w:type="dxa"/>
            <w:right w:w="108" w:type="dxa"/>
          </w:tblCellMar>
          <w:tblLook w:val="04A0" w:firstRow="1" w:lastRow="0" w:firstColumn="1" w:lastColumn="0" w:noHBand="0" w:noVBand="1"/>
        </w:tblPrEx>
        <w:tc>
          <w:tcPr>
            <w:tcW w:w="3806" w:type="dxa"/>
            <w:gridSpan w:val="2"/>
            <w:tcBorders>
              <w:top w:val="single" w:sz="4" w:space="0" w:color="auto"/>
              <w:left w:val="single" w:sz="4" w:space="0" w:color="auto"/>
              <w:bottom w:val="single" w:sz="4" w:space="0" w:color="auto"/>
              <w:right w:val="single" w:sz="4" w:space="0" w:color="auto"/>
            </w:tcBorders>
            <w:shd w:val="clear" w:color="auto" w:fill="auto"/>
          </w:tcPr>
          <w:p w:rsidR="00ED0FD4" w:rsidRPr="00C74FC0" w:rsidRDefault="00ED0FD4" w:rsidP="006D382B">
            <w:pPr>
              <w:pStyle w:val="Normal16"/>
              <w:jc w:val="both"/>
              <w:rPr>
                <w:b/>
                <w:bCs/>
                <w:szCs w:val="22"/>
              </w:rPr>
            </w:pPr>
            <w:r w:rsidRPr="00C74FC0">
              <w:rPr>
                <w:b/>
                <w:bCs/>
                <w:szCs w:val="22"/>
              </w:rPr>
              <w:t>Is this a Key Decision?</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ED0FD4" w:rsidRPr="00C74FC0" w:rsidRDefault="00ED0FD4" w:rsidP="005043A3">
            <w:pPr>
              <w:pStyle w:val="Normal16"/>
              <w:jc w:val="both"/>
              <w:rPr>
                <w:bCs/>
                <w:szCs w:val="22"/>
              </w:rPr>
            </w:pPr>
            <w:r>
              <w:rPr>
                <w:bCs/>
                <w:szCs w:val="22"/>
                <w:bdr w:val="nil"/>
              </w:rPr>
              <w:t>Yes</w:t>
            </w:r>
            <w:r w:rsidRPr="00C74FC0">
              <w:rPr>
                <w:bCs/>
                <w:szCs w:val="22"/>
              </w:rPr>
              <w:t xml:space="preserve"> </w:t>
            </w:r>
          </w:p>
        </w:tc>
      </w:tr>
      <w:tr w:rsidR="00ED0FD4" w:rsidTr="00CC2D82">
        <w:tblPrEx>
          <w:tblCellMar>
            <w:top w:w="0" w:type="dxa"/>
            <w:left w:w="108" w:type="dxa"/>
            <w:right w:w="108" w:type="dxa"/>
          </w:tblCellMar>
          <w:tblLook w:val="04A0" w:firstRow="1" w:lastRow="0" w:firstColumn="1" w:lastColumn="0" w:noHBand="0" w:noVBand="1"/>
        </w:tblPrEx>
        <w:tc>
          <w:tcPr>
            <w:tcW w:w="3806" w:type="dxa"/>
            <w:gridSpan w:val="2"/>
            <w:tcBorders>
              <w:top w:val="single" w:sz="4" w:space="0" w:color="auto"/>
              <w:left w:val="single" w:sz="4" w:space="0" w:color="auto"/>
              <w:bottom w:val="single" w:sz="4" w:space="0" w:color="auto"/>
              <w:right w:val="single" w:sz="4" w:space="0" w:color="auto"/>
            </w:tcBorders>
            <w:shd w:val="clear" w:color="auto" w:fill="auto"/>
          </w:tcPr>
          <w:p w:rsidR="00ED0FD4" w:rsidRPr="00C74FC0" w:rsidRDefault="00ED0FD4" w:rsidP="006D382B">
            <w:pPr>
              <w:pStyle w:val="Normal16"/>
              <w:jc w:val="both"/>
              <w:rPr>
                <w:b/>
                <w:bCs/>
                <w:szCs w:val="22"/>
              </w:rPr>
            </w:pPr>
            <w:r w:rsidRPr="00C74FC0">
              <w:rPr>
                <w:b/>
                <w:bCs/>
                <w:szCs w:val="22"/>
              </w:rPr>
              <w:t>Reason</w:t>
            </w:r>
            <w:r w:rsidR="005043A3">
              <w:rPr>
                <w:b/>
                <w:bCs/>
                <w:szCs w:val="22"/>
              </w:rPr>
              <w:t>s</w:t>
            </w:r>
            <w:r w:rsidRPr="00C74FC0">
              <w:rPr>
                <w:b/>
                <w:bCs/>
                <w:szCs w:val="22"/>
              </w:rPr>
              <w:t xml:space="preserve"> for decision</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ED0FD4" w:rsidRPr="00D23270" w:rsidRDefault="00D23270" w:rsidP="00D23270">
            <w:pPr>
              <w:rPr>
                <w:sz w:val="22"/>
                <w:szCs w:val="22"/>
              </w:rPr>
            </w:pPr>
            <w:r w:rsidRPr="00D23270">
              <w:rPr>
                <w:sz w:val="22"/>
                <w:szCs w:val="22"/>
              </w:rPr>
              <w:t>Du</w:t>
            </w:r>
            <w:r w:rsidR="00821101">
              <w:rPr>
                <w:sz w:val="22"/>
                <w:szCs w:val="22"/>
              </w:rPr>
              <w:t>ring the disruption due to the coronav</w:t>
            </w:r>
            <w:r w:rsidRPr="00D23270">
              <w:rPr>
                <w:sz w:val="22"/>
                <w:szCs w:val="22"/>
              </w:rPr>
              <w:t>irus some works have had to be stopped and others commissioned. A</w:t>
            </w:r>
            <w:r>
              <w:rPr>
                <w:sz w:val="22"/>
                <w:szCs w:val="22"/>
              </w:rPr>
              <w:t>n</w:t>
            </w:r>
            <w:r w:rsidRPr="00D23270">
              <w:rPr>
                <w:sz w:val="22"/>
                <w:szCs w:val="22"/>
              </w:rPr>
              <w:t xml:space="preserve"> efficient and effective means of paying ODSL was sought during this period.</w:t>
            </w:r>
          </w:p>
        </w:tc>
      </w:tr>
      <w:tr w:rsidR="00ED0FD4" w:rsidTr="00CC2D82">
        <w:tblPrEx>
          <w:tblCellMar>
            <w:top w:w="0" w:type="dxa"/>
            <w:left w:w="108" w:type="dxa"/>
            <w:right w:w="108" w:type="dxa"/>
          </w:tblCellMar>
          <w:tblLook w:val="04A0" w:firstRow="1" w:lastRow="0" w:firstColumn="1" w:lastColumn="0" w:noHBand="0" w:noVBand="1"/>
        </w:tblPrEx>
        <w:tc>
          <w:tcPr>
            <w:tcW w:w="3806" w:type="dxa"/>
            <w:gridSpan w:val="2"/>
            <w:tcBorders>
              <w:top w:val="single" w:sz="4" w:space="0" w:color="auto"/>
              <w:left w:val="single" w:sz="4" w:space="0" w:color="auto"/>
              <w:bottom w:val="single" w:sz="4" w:space="0" w:color="auto"/>
              <w:right w:val="single" w:sz="4" w:space="0" w:color="auto"/>
            </w:tcBorders>
            <w:shd w:val="clear" w:color="auto" w:fill="auto"/>
          </w:tcPr>
          <w:p w:rsidR="00ED0FD4" w:rsidRPr="00C74FC0" w:rsidRDefault="00ED0FD4" w:rsidP="006D382B">
            <w:pPr>
              <w:pStyle w:val="Normal16"/>
              <w:jc w:val="both"/>
              <w:rPr>
                <w:b/>
                <w:bCs/>
                <w:szCs w:val="22"/>
              </w:rPr>
            </w:pPr>
            <w:r w:rsidRPr="00C74FC0">
              <w:rPr>
                <w:b/>
                <w:bCs/>
                <w:szCs w:val="22"/>
              </w:rPr>
              <w:t>Alternative options considered:</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ED0FD4" w:rsidRPr="005043A3" w:rsidRDefault="00ED0FD4" w:rsidP="006D382B">
            <w:pPr>
              <w:rPr>
                <w:rFonts w:cs="Arial"/>
                <w:sz w:val="22"/>
                <w:szCs w:val="22"/>
              </w:rPr>
            </w:pPr>
            <w:r w:rsidRPr="005043A3">
              <w:rPr>
                <w:rFonts w:cs="Arial"/>
                <w:sz w:val="22"/>
                <w:szCs w:val="22"/>
              </w:rPr>
              <w:t xml:space="preserve">The option of utilising the Council Change and charging provision of the services contract was considered. </w:t>
            </w:r>
          </w:p>
          <w:p w:rsidR="00ED0FD4" w:rsidRDefault="00ED0FD4" w:rsidP="006D382B">
            <w:pPr>
              <w:rPr>
                <w:rFonts w:cs="Arial"/>
                <w:color w:val="1F497D"/>
              </w:rPr>
            </w:pPr>
            <w:r w:rsidRPr="005043A3">
              <w:rPr>
                <w:rFonts w:cs="Arial"/>
                <w:sz w:val="22"/>
                <w:szCs w:val="22"/>
              </w:rPr>
              <w:t>This option was rejected as it would require a significant amount of bureaucracy and transaction costs to achieve broadly the same outcome</w:t>
            </w:r>
            <w:r w:rsidRPr="005043A3">
              <w:rPr>
                <w:rFonts w:cs="Arial"/>
                <w:color w:val="1F497D"/>
                <w:sz w:val="22"/>
                <w:szCs w:val="22"/>
              </w:rPr>
              <w:t>.</w:t>
            </w:r>
          </w:p>
        </w:tc>
      </w:tr>
      <w:tr w:rsidR="00ED0FD4" w:rsidRPr="00C74FC0" w:rsidTr="00CC2D82">
        <w:tblPrEx>
          <w:tblCellMar>
            <w:top w:w="0" w:type="dxa"/>
            <w:left w:w="108" w:type="dxa"/>
            <w:right w:w="108" w:type="dxa"/>
          </w:tblCellMar>
          <w:tblLook w:val="04A0" w:firstRow="1" w:lastRow="0" w:firstColumn="1" w:lastColumn="0" w:noHBand="0" w:noVBand="1"/>
        </w:tblPrEx>
        <w:tc>
          <w:tcPr>
            <w:tcW w:w="3806" w:type="dxa"/>
            <w:gridSpan w:val="2"/>
            <w:tcBorders>
              <w:top w:val="single" w:sz="4" w:space="0" w:color="auto"/>
              <w:left w:val="single" w:sz="4" w:space="0" w:color="auto"/>
              <w:bottom w:val="single" w:sz="4" w:space="0" w:color="auto"/>
              <w:right w:val="single" w:sz="4" w:space="0" w:color="auto"/>
            </w:tcBorders>
            <w:shd w:val="clear" w:color="auto" w:fill="auto"/>
          </w:tcPr>
          <w:p w:rsidR="00ED0FD4" w:rsidRPr="00C74FC0" w:rsidRDefault="00ED0FD4" w:rsidP="006D382B">
            <w:pPr>
              <w:pStyle w:val="Normal16"/>
              <w:jc w:val="both"/>
              <w:rPr>
                <w:b/>
                <w:bCs/>
                <w:szCs w:val="22"/>
              </w:rPr>
            </w:pPr>
            <w:r w:rsidRPr="00C74FC0">
              <w:rPr>
                <w:b/>
                <w:bCs/>
                <w:szCs w:val="22"/>
              </w:rPr>
              <w:t xml:space="preserve">Wards </w:t>
            </w:r>
            <w:r w:rsidR="005043A3">
              <w:rPr>
                <w:b/>
                <w:bCs/>
                <w:szCs w:val="22"/>
              </w:rPr>
              <w:t xml:space="preserve">significantly </w:t>
            </w:r>
            <w:r w:rsidRPr="00C74FC0">
              <w:rPr>
                <w:b/>
                <w:bCs/>
                <w:szCs w:val="22"/>
              </w:rPr>
              <w:t>affected</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ED0FD4" w:rsidRPr="00C74FC0" w:rsidRDefault="00821101" w:rsidP="006D382B">
            <w:pPr>
              <w:pStyle w:val="Normal16"/>
              <w:jc w:val="both"/>
            </w:pPr>
            <w:r>
              <w:t>None</w:t>
            </w:r>
          </w:p>
        </w:tc>
      </w:tr>
      <w:tr w:rsidR="00ED0FD4" w:rsidRPr="00C74FC0" w:rsidTr="00CC2D82">
        <w:tblPrEx>
          <w:tblCellMar>
            <w:top w:w="0" w:type="dxa"/>
            <w:left w:w="108" w:type="dxa"/>
            <w:right w:w="108" w:type="dxa"/>
          </w:tblCellMar>
          <w:tblLook w:val="04A0" w:firstRow="1" w:lastRow="0" w:firstColumn="1" w:lastColumn="0" w:noHBand="0" w:noVBand="1"/>
        </w:tblPrEx>
        <w:tc>
          <w:tcPr>
            <w:tcW w:w="3806" w:type="dxa"/>
            <w:gridSpan w:val="2"/>
            <w:tcBorders>
              <w:top w:val="single" w:sz="4" w:space="0" w:color="auto"/>
              <w:left w:val="single" w:sz="4" w:space="0" w:color="auto"/>
              <w:bottom w:val="single" w:sz="4" w:space="0" w:color="auto"/>
              <w:right w:val="single" w:sz="4" w:space="0" w:color="auto"/>
            </w:tcBorders>
            <w:shd w:val="clear" w:color="auto" w:fill="auto"/>
          </w:tcPr>
          <w:p w:rsidR="00ED0FD4" w:rsidRPr="00C74FC0" w:rsidRDefault="00ED0FD4" w:rsidP="006D382B">
            <w:pPr>
              <w:pStyle w:val="Normal16"/>
              <w:jc w:val="both"/>
              <w:rPr>
                <w:b/>
                <w:bCs/>
                <w:szCs w:val="22"/>
              </w:rPr>
            </w:pPr>
            <w:r w:rsidRPr="00C74FC0">
              <w:rPr>
                <w:b/>
                <w:bCs/>
                <w:szCs w:val="22"/>
              </w:rPr>
              <w:t>Declared conflict of interest:</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ED0FD4" w:rsidRPr="00C74FC0" w:rsidRDefault="00ED0FD4" w:rsidP="006D382B">
            <w:pPr>
              <w:pStyle w:val="Normal16"/>
              <w:jc w:val="both"/>
              <w:rPr>
                <w:bCs/>
                <w:szCs w:val="22"/>
              </w:rPr>
            </w:pPr>
            <w:r w:rsidRPr="00C74FC0">
              <w:t>None</w:t>
            </w:r>
          </w:p>
        </w:tc>
      </w:tr>
    </w:tbl>
    <w:p w:rsidR="00ED0FD4" w:rsidRDefault="00ED0FD4" w:rsidP="000C3011">
      <w:pPr>
        <w:pStyle w:val="ListParagraph"/>
        <w:numPr>
          <w:ilvl w:val="0"/>
          <w:numId w:val="0"/>
        </w:numPr>
        <w:ind w:left="426"/>
      </w:pPr>
    </w:p>
    <w:tbl>
      <w:tblPr>
        <w:tblW w:w="90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4418"/>
      </w:tblGrid>
      <w:tr w:rsidR="005C1B66" w:rsidRPr="00C74FC0" w:rsidTr="005C1B66">
        <w:tc>
          <w:tcPr>
            <w:tcW w:w="4633" w:type="dxa"/>
            <w:tcBorders>
              <w:top w:val="nil"/>
              <w:left w:val="nil"/>
              <w:bottom w:val="nil"/>
              <w:right w:val="nil"/>
            </w:tcBorders>
            <w:shd w:val="clear" w:color="auto" w:fill="auto"/>
          </w:tcPr>
          <w:p w:rsidR="005C1B66" w:rsidRPr="00C74FC0" w:rsidRDefault="005C1B66" w:rsidP="006D382B">
            <w:pPr>
              <w:pStyle w:val="Normal14"/>
              <w:jc w:val="both"/>
              <w:rPr>
                <w:b/>
                <w:bCs/>
                <w:szCs w:val="22"/>
              </w:rPr>
            </w:pPr>
          </w:p>
        </w:tc>
        <w:tc>
          <w:tcPr>
            <w:tcW w:w="4418" w:type="dxa"/>
            <w:tcBorders>
              <w:top w:val="nil"/>
              <w:left w:val="nil"/>
              <w:bottom w:val="nil"/>
              <w:right w:val="nil"/>
            </w:tcBorders>
            <w:shd w:val="clear" w:color="auto" w:fill="auto"/>
          </w:tcPr>
          <w:p w:rsidR="005C1B66" w:rsidRPr="00C74FC0" w:rsidRDefault="005C1B66" w:rsidP="006D382B">
            <w:pPr>
              <w:pStyle w:val="Normal14"/>
              <w:jc w:val="both"/>
            </w:pPr>
          </w:p>
        </w:tc>
      </w:tr>
    </w:tbl>
    <w:p w:rsidR="005C1B66" w:rsidRDefault="005C1B66" w:rsidP="005C1B66">
      <w:pPr>
        <w:rPr>
          <w:vanish/>
        </w:rPr>
      </w:pPr>
      <w:r>
        <w:rPr>
          <w:vanish/>
        </w:rPr>
        <w:t>&lt;/PI2&gt;</w:t>
      </w:r>
    </w:p>
    <w:p w:rsidR="005C1B66" w:rsidRDefault="005C1B66" w:rsidP="005C1B66">
      <w:pPr>
        <w:rPr>
          <w:vanish/>
        </w:rPr>
      </w:pPr>
      <w:r>
        <w:rPr>
          <w:vanish/>
        </w:rPr>
        <w:t>&lt;PI3&gt;</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279"/>
        <w:gridCol w:w="2527"/>
        <w:gridCol w:w="5267"/>
      </w:tblGrid>
      <w:tr w:rsidR="005C1B66" w:rsidRPr="00C74FC0" w:rsidTr="00CC2D82">
        <w:tc>
          <w:tcPr>
            <w:tcW w:w="1279" w:type="dxa"/>
            <w:noWrap/>
          </w:tcPr>
          <w:p w:rsidR="005C1B66" w:rsidRPr="005C1B66" w:rsidRDefault="005C1B66" w:rsidP="005C1B66">
            <w:pPr>
              <w:pStyle w:val="Normal15"/>
              <w:overflowPunct/>
              <w:autoSpaceDE/>
              <w:autoSpaceDN/>
              <w:adjustRightInd/>
              <w:textAlignment w:val="auto"/>
              <w:rPr>
                <w:b/>
              </w:rPr>
            </w:pPr>
            <w:r w:rsidRPr="005C1B66">
              <w:rPr>
                <w:b/>
                <w:bdr w:val="nil"/>
              </w:rPr>
              <w:lastRenderedPageBreak/>
              <w:t xml:space="preserve"> ITEM </w:t>
            </w:r>
            <w:r w:rsidR="00CC2D82">
              <w:rPr>
                <w:b/>
                <w:bdr w:val="nil"/>
              </w:rPr>
              <w:t>3</w:t>
            </w:r>
          </w:p>
        </w:tc>
        <w:tc>
          <w:tcPr>
            <w:tcW w:w="7794" w:type="dxa"/>
            <w:gridSpan w:val="2"/>
          </w:tcPr>
          <w:p w:rsidR="005C1B66" w:rsidRPr="00C74FC0" w:rsidRDefault="005C1B66" w:rsidP="006D382B">
            <w:pPr>
              <w:pStyle w:val="Normal15"/>
              <w:jc w:val="both"/>
              <w:rPr>
                <w:rFonts w:ascii="Arial Bold" w:hAnsi="Arial Bold"/>
                <w:b/>
                <w:bCs/>
                <w:caps/>
                <w:szCs w:val="22"/>
              </w:rPr>
            </w:pPr>
            <w:r>
              <w:rPr>
                <w:rFonts w:ascii="Arial Bold" w:hAnsi="Arial Bold"/>
                <w:b/>
                <w:bCs/>
                <w:caps/>
                <w:szCs w:val="22"/>
                <w:bdr w:val="nil"/>
              </w:rPr>
              <w:t>Agreement of the Oxford City Council Coronavirus Discretionary Grant Scheme</w:t>
            </w:r>
          </w:p>
          <w:p w:rsidR="005C1B66" w:rsidRPr="00C74FC0" w:rsidRDefault="005C1B66" w:rsidP="006D382B">
            <w:pPr>
              <w:pStyle w:val="Normal15"/>
              <w:jc w:val="both"/>
              <w:rPr>
                <w:rFonts w:ascii="Arial Bold" w:hAnsi="Arial Bold"/>
                <w:b/>
                <w:caps/>
              </w:rPr>
            </w:pPr>
          </w:p>
        </w:tc>
      </w:tr>
      <w:tr w:rsidR="005C1B66" w:rsidTr="00CC2D82">
        <w:tblPrEx>
          <w:tblCellMar>
            <w:top w:w="0" w:type="dxa"/>
            <w:left w:w="108" w:type="dxa"/>
            <w:right w:w="108" w:type="dxa"/>
          </w:tblCellMar>
          <w:tblLook w:val="04A0" w:firstRow="1" w:lastRow="0" w:firstColumn="1" w:lastColumn="0" w:noHBand="0" w:noVBand="1"/>
        </w:tblPrEx>
        <w:tc>
          <w:tcPr>
            <w:tcW w:w="9073" w:type="dxa"/>
            <w:gridSpan w:val="3"/>
            <w:tcBorders>
              <w:top w:val="single" w:sz="4" w:space="0" w:color="auto"/>
              <w:left w:val="single" w:sz="4" w:space="0" w:color="auto"/>
              <w:bottom w:val="single" w:sz="4" w:space="0" w:color="auto"/>
              <w:right w:val="single" w:sz="4" w:space="0" w:color="auto"/>
            </w:tcBorders>
            <w:shd w:val="clear" w:color="auto" w:fill="auto"/>
          </w:tcPr>
          <w:p w:rsidR="005C1B66" w:rsidRPr="00C74FC0" w:rsidRDefault="005C1B66" w:rsidP="006D382B">
            <w:pPr>
              <w:pStyle w:val="Normal15"/>
              <w:jc w:val="both"/>
              <w:rPr>
                <w:bCs/>
                <w:szCs w:val="22"/>
              </w:rPr>
            </w:pPr>
            <w:r w:rsidRPr="00C74FC0">
              <w:rPr>
                <w:b/>
                <w:bCs/>
                <w:szCs w:val="22"/>
              </w:rPr>
              <w:t xml:space="preserve">Decision: </w:t>
            </w:r>
          </w:p>
          <w:p w:rsidR="005C1B66" w:rsidRPr="00821101" w:rsidRDefault="005C1B66" w:rsidP="006D382B">
            <w:pPr>
              <w:rPr>
                <w:sz w:val="22"/>
                <w:szCs w:val="22"/>
              </w:rPr>
            </w:pPr>
            <w:r w:rsidRPr="00821101">
              <w:rPr>
                <w:sz w:val="22"/>
                <w:szCs w:val="22"/>
              </w:rPr>
              <w:t xml:space="preserve">To agree the £1.265m Discretionary Grant scheme, for urgent launch on June 1st, in line with the other Oxon LA timescales for launch. </w:t>
            </w:r>
          </w:p>
        </w:tc>
      </w:tr>
      <w:tr w:rsidR="005C1B66" w:rsidRPr="00C74FC0" w:rsidTr="00CC2D82">
        <w:tblPrEx>
          <w:tblCellMar>
            <w:top w:w="0" w:type="dxa"/>
            <w:left w:w="108" w:type="dxa"/>
            <w:right w:w="108" w:type="dxa"/>
          </w:tblCellMar>
          <w:tblLook w:val="04A0" w:firstRow="1" w:lastRow="0" w:firstColumn="1" w:lastColumn="0" w:noHBand="0" w:noVBand="1"/>
        </w:tblPrEx>
        <w:tc>
          <w:tcPr>
            <w:tcW w:w="3806" w:type="dxa"/>
            <w:gridSpan w:val="2"/>
            <w:tcBorders>
              <w:top w:val="single" w:sz="4" w:space="0" w:color="auto"/>
              <w:left w:val="single" w:sz="4" w:space="0" w:color="auto"/>
              <w:bottom w:val="single" w:sz="4" w:space="0" w:color="auto"/>
              <w:right w:val="single" w:sz="4" w:space="0" w:color="auto"/>
            </w:tcBorders>
            <w:shd w:val="clear" w:color="auto" w:fill="auto"/>
          </w:tcPr>
          <w:p w:rsidR="005C1B66" w:rsidRPr="00C74FC0" w:rsidRDefault="005C1B66" w:rsidP="006D382B">
            <w:pPr>
              <w:pStyle w:val="Normal15"/>
              <w:jc w:val="both"/>
              <w:rPr>
                <w:b/>
                <w:bCs/>
                <w:szCs w:val="22"/>
              </w:rPr>
            </w:pPr>
            <w:r w:rsidRPr="00C74FC0">
              <w:rPr>
                <w:b/>
                <w:bCs/>
                <w:szCs w:val="22"/>
              </w:rPr>
              <w:t>Date decision made:</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5C1B66" w:rsidRPr="00C74FC0" w:rsidRDefault="005C1B66" w:rsidP="006D382B">
            <w:pPr>
              <w:pStyle w:val="Normal15"/>
              <w:jc w:val="both"/>
            </w:pPr>
            <w:r>
              <w:rPr>
                <w:bdr w:val="nil"/>
              </w:rPr>
              <w:t>27 May 2020</w:t>
            </w:r>
            <w:r w:rsidRPr="00C74FC0">
              <w:t xml:space="preserve"> </w:t>
            </w:r>
          </w:p>
        </w:tc>
      </w:tr>
      <w:tr w:rsidR="005C1B66" w:rsidRPr="00C74FC0" w:rsidTr="00CC2D82">
        <w:tblPrEx>
          <w:tblCellMar>
            <w:top w:w="0" w:type="dxa"/>
            <w:left w:w="108" w:type="dxa"/>
            <w:right w:w="108" w:type="dxa"/>
          </w:tblCellMar>
          <w:tblLook w:val="04A0" w:firstRow="1" w:lastRow="0" w:firstColumn="1" w:lastColumn="0" w:noHBand="0" w:noVBand="1"/>
        </w:tblPrEx>
        <w:tc>
          <w:tcPr>
            <w:tcW w:w="3806" w:type="dxa"/>
            <w:gridSpan w:val="2"/>
            <w:tcBorders>
              <w:top w:val="single" w:sz="4" w:space="0" w:color="auto"/>
              <w:left w:val="single" w:sz="4" w:space="0" w:color="auto"/>
              <w:bottom w:val="single" w:sz="4" w:space="0" w:color="auto"/>
              <w:right w:val="single" w:sz="4" w:space="0" w:color="auto"/>
            </w:tcBorders>
            <w:shd w:val="clear" w:color="auto" w:fill="auto"/>
          </w:tcPr>
          <w:p w:rsidR="005C1B66" w:rsidRPr="00C74FC0" w:rsidRDefault="005C1B66" w:rsidP="006D382B">
            <w:pPr>
              <w:pStyle w:val="Normal15"/>
              <w:jc w:val="both"/>
              <w:rPr>
                <w:b/>
                <w:bCs/>
                <w:szCs w:val="22"/>
              </w:rPr>
            </w:pPr>
            <w:r w:rsidRPr="00C74FC0">
              <w:rPr>
                <w:b/>
                <w:bCs/>
                <w:szCs w:val="22"/>
              </w:rPr>
              <w:t>Decision taker</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5C1B66" w:rsidRPr="00C74FC0" w:rsidRDefault="00821101" w:rsidP="006D382B">
            <w:pPr>
              <w:pStyle w:val="Normal15"/>
              <w:jc w:val="both"/>
            </w:pPr>
            <w:r>
              <w:rPr>
                <w:bdr w:val="nil"/>
              </w:rPr>
              <w:t>Head of Paid Service (</w:t>
            </w:r>
            <w:r w:rsidR="005C1B66">
              <w:rPr>
                <w:bdr w:val="nil"/>
              </w:rPr>
              <w:t>Chief Executive</w:t>
            </w:r>
            <w:r>
              <w:rPr>
                <w:bdr w:val="nil"/>
              </w:rPr>
              <w:t>)</w:t>
            </w:r>
          </w:p>
        </w:tc>
      </w:tr>
      <w:tr w:rsidR="00821101" w:rsidRPr="00C74FC0" w:rsidTr="00821101">
        <w:tblPrEx>
          <w:tblCellMar>
            <w:top w:w="0" w:type="dxa"/>
            <w:left w:w="108" w:type="dxa"/>
            <w:right w:w="108" w:type="dxa"/>
          </w:tblCellMar>
          <w:tblLook w:val="04A0" w:firstRow="1" w:lastRow="0" w:firstColumn="1" w:lastColumn="0" w:noHBand="0" w:noVBand="1"/>
        </w:tblPrEx>
        <w:trPr>
          <w:trHeight w:val="674"/>
        </w:trPr>
        <w:tc>
          <w:tcPr>
            <w:tcW w:w="3806" w:type="dxa"/>
            <w:gridSpan w:val="2"/>
            <w:shd w:val="clear" w:color="auto" w:fill="auto"/>
          </w:tcPr>
          <w:p w:rsidR="00821101" w:rsidRPr="005043A3" w:rsidRDefault="00821101" w:rsidP="00821101">
            <w:pPr>
              <w:spacing w:before="120"/>
              <w:rPr>
                <w:rFonts w:cs="Arial"/>
                <w:sz w:val="22"/>
                <w:szCs w:val="22"/>
              </w:rPr>
            </w:pPr>
            <w:r w:rsidRPr="005043A3">
              <w:rPr>
                <w:rFonts w:cs="Arial"/>
                <w:b/>
                <w:sz w:val="22"/>
                <w:szCs w:val="22"/>
              </w:rPr>
              <w:t>Was the decision taken under emergency or urgency rules?</w:t>
            </w:r>
          </w:p>
        </w:tc>
        <w:tc>
          <w:tcPr>
            <w:tcW w:w="5267" w:type="dxa"/>
            <w:shd w:val="clear" w:color="auto" w:fill="auto"/>
          </w:tcPr>
          <w:p w:rsidR="00821101" w:rsidRPr="00821101" w:rsidRDefault="00821101" w:rsidP="00821101">
            <w:pPr>
              <w:rPr>
                <w:rFonts w:cs="Arial"/>
                <w:sz w:val="8"/>
                <w:szCs w:val="8"/>
              </w:rPr>
            </w:pPr>
          </w:p>
          <w:p w:rsidR="00821101" w:rsidRPr="005043A3" w:rsidRDefault="00821101" w:rsidP="00821101">
            <w:pPr>
              <w:rPr>
                <w:rFonts w:cs="Arial"/>
                <w:sz w:val="22"/>
                <w:szCs w:val="22"/>
              </w:rPr>
            </w:pPr>
            <w:r>
              <w:rPr>
                <w:rFonts w:cs="Arial"/>
                <w:sz w:val="22"/>
                <w:szCs w:val="22"/>
              </w:rPr>
              <w:t>Urgency – Constitution Part 9.3(b)</w:t>
            </w:r>
          </w:p>
        </w:tc>
      </w:tr>
      <w:tr w:rsidR="005C1B66" w:rsidRPr="00C74FC0" w:rsidTr="00CC2D82">
        <w:tblPrEx>
          <w:tblCellMar>
            <w:top w:w="0" w:type="dxa"/>
            <w:left w:w="108" w:type="dxa"/>
            <w:right w:w="108" w:type="dxa"/>
          </w:tblCellMar>
          <w:tblLook w:val="04A0" w:firstRow="1" w:lastRow="0" w:firstColumn="1" w:lastColumn="0" w:noHBand="0" w:noVBand="1"/>
        </w:tblPrEx>
        <w:tc>
          <w:tcPr>
            <w:tcW w:w="3806" w:type="dxa"/>
            <w:gridSpan w:val="2"/>
            <w:tcBorders>
              <w:top w:val="single" w:sz="4" w:space="0" w:color="auto"/>
              <w:left w:val="single" w:sz="4" w:space="0" w:color="auto"/>
              <w:bottom w:val="single" w:sz="4" w:space="0" w:color="auto"/>
              <w:right w:val="single" w:sz="4" w:space="0" w:color="auto"/>
            </w:tcBorders>
            <w:shd w:val="clear" w:color="auto" w:fill="auto"/>
          </w:tcPr>
          <w:p w:rsidR="005C1B66" w:rsidRPr="00C74FC0" w:rsidRDefault="00821101" w:rsidP="006D382B">
            <w:pPr>
              <w:pStyle w:val="Normal15"/>
              <w:jc w:val="both"/>
              <w:rPr>
                <w:b/>
                <w:bCs/>
                <w:szCs w:val="22"/>
              </w:rPr>
            </w:pPr>
            <w:r>
              <w:rPr>
                <w:b/>
                <w:bCs/>
                <w:szCs w:val="22"/>
              </w:rPr>
              <w:t>Is this a Key Decision?</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5C1B66" w:rsidRPr="00C74FC0" w:rsidRDefault="005C1B66" w:rsidP="006D382B">
            <w:pPr>
              <w:pStyle w:val="Normal15"/>
              <w:jc w:val="both"/>
              <w:rPr>
                <w:bCs/>
                <w:szCs w:val="22"/>
              </w:rPr>
            </w:pPr>
            <w:r>
              <w:rPr>
                <w:bCs/>
                <w:szCs w:val="22"/>
                <w:bdr w:val="nil"/>
              </w:rPr>
              <w:t>Yes</w:t>
            </w:r>
            <w:r w:rsidRPr="00C74FC0">
              <w:rPr>
                <w:bCs/>
                <w:szCs w:val="22"/>
              </w:rPr>
              <w:t xml:space="preserve"> </w:t>
            </w:r>
          </w:p>
        </w:tc>
      </w:tr>
      <w:tr w:rsidR="005C1B66" w:rsidTr="00CC2D82">
        <w:tblPrEx>
          <w:tblCellMar>
            <w:top w:w="0" w:type="dxa"/>
            <w:left w:w="108" w:type="dxa"/>
            <w:right w:w="108" w:type="dxa"/>
          </w:tblCellMar>
          <w:tblLook w:val="04A0" w:firstRow="1" w:lastRow="0" w:firstColumn="1" w:lastColumn="0" w:noHBand="0" w:noVBand="1"/>
        </w:tblPrEx>
        <w:tc>
          <w:tcPr>
            <w:tcW w:w="3806" w:type="dxa"/>
            <w:gridSpan w:val="2"/>
            <w:tcBorders>
              <w:top w:val="single" w:sz="4" w:space="0" w:color="auto"/>
              <w:left w:val="single" w:sz="4" w:space="0" w:color="auto"/>
              <w:bottom w:val="single" w:sz="4" w:space="0" w:color="auto"/>
              <w:right w:val="single" w:sz="4" w:space="0" w:color="auto"/>
            </w:tcBorders>
            <w:shd w:val="clear" w:color="auto" w:fill="auto"/>
          </w:tcPr>
          <w:p w:rsidR="005C1B66" w:rsidRPr="00C74FC0" w:rsidRDefault="005C1B66" w:rsidP="006D382B">
            <w:pPr>
              <w:pStyle w:val="Normal15"/>
              <w:jc w:val="both"/>
              <w:rPr>
                <w:b/>
                <w:bCs/>
                <w:szCs w:val="22"/>
              </w:rPr>
            </w:pPr>
            <w:r w:rsidRPr="00C74FC0">
              <w:rPr>
                <w:b/>
                <w:bCs/>
                <w:szCs w:val="22"/>
              </w:rPr>
              <w:t>Reason for decision</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5C1B66" w:rsidRPr="00821101" w:rsidRDefault="00821101" w:rsidP="00821101">
            <w:pPr>
              <w:rPr>
                <w:sz w:val="22"/>
                <w:szCs w:val="22"/>
              </w:rPr>
            </w:pPr>
            <w:r>
              <w:rPr>
                <w:sz w:val="22"/>
                <w:szCs w:val="22"/>
              </w:rPr>
              <w:t>T</w:t>
            </w:r>
            <w:r w:rsidRPr="00821101">
              <w:rPr>
                <w:sz w:val="22"/>
                <w:szCs w:val="22"/>
              </w:rPr>
              <w:t>o support small businesses with f</w:t>
            </w:r>
            <w:r>
              <w:rPr>
                <w:sz w:val="22"/>
                <w:szCs w:val="22"/>
              </w:rPr>
              <w:t xml:space="preserve">ixed property-related costs </w:t>
            </w:r>
            <w:r w:rsidRPr="00821101">
              <w:rPr>
                <w:sz w:val="22"/>
                <w:szCs w:val="22"/>
              </w:rPr>
              <w:t xml:space="preserve">struggling to survive due to the </w:t>
            </w:r>
            <w:r>
              <w:rPr>
                <w:sz w:val="22"/>
                <w:szCs w:val="22"/>
              </w:rPr>
              <w:t>c</w:t>
            </w:r>
            <w:r w:rsidRPr="00821101">
              <w:rPr>
                <w:sz w:val="22"/>
                <w:szCs w:val="22"/>
              </w:rPr>
              <w:t>oronavirus shutdown, and unable to access other grant funding.</w:t>
            </w:r>
          </w:p>
        </w:tc>
      </w:tr>
      <w:tr w:rsidR="005C1B66" w:rsidTr="00CC2D82">
        <w:tblPrEx>
          <w:tblCellMar>
            <w:top w:w="0" w:type="dxa"/>
            <w:left w:w="108" w:type="dxa"/>
            <w:right w:w="108" w:type="dxa"/>
          </w:tblCellMar>
          <w:tblLook w:val="04A0" w:firstRow="1" w:lastRow="0" w:firstColumn="1" w:lastColumn="0" w:noHBand="0" w:noVBand="1"/>
        </w:tblPrEx>
        <w:tc>
          <w:tcPr>
            <w:tcW w:w="3806" w:type="dxa"/>
            <w:gridSpan w:val="2"/>
            <w:tcBorders>
              <w:top w:val="single" w:sz="4" w:space="0" w:color="auto"/>
              <w:left w:val="single" w:sz="4" w:space="0" w:color="auto"/>
              <w:bottom w:val="single" w:sz="4" w:space="0" w:color="auto"/>
              <w:right w:val="single" w:sz="4" w:space="0" w:color="auto"/>
            </w:tcBorders>
            <w:shd w:val="clear" w:color="auto" w:fill="auto"/>
          </w:tcPr>
          <w:p w:rsidR="005C1B66" w:rsidRPr="00C74FC0" w:rsidRDefault="005C1B66" w:rsidP="006D382B">
            <w:pPr>
              <w:pStyle w:val="Normal15"/>
              <w:jc w:val="both"/>
              <w:rPr>
                <w:b/>
                <w:bCs/>
                <w:szCs w:val="22"/>
              </w:rPr>
            </w:pPr>
            <w:r w:rsidRPr="00C74FC0">
              <w:rPr>
                <w:b/>
                <w:bCs/>
                <w:szCs w:val="22"/>
              </w:rPr>
              <w:t>Alternative options considered:</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5C1B66" w:rsidRPr="00821101" w:rsidRDefault="005C1B66" w:rsidP="006D382B">
            <w:pPr>
              <w:rPr>
                <w:sz w:val="22"/>
                <w:szCs w:val="22"/>
              </w:rPr>
            </w:pPr>
            <w:r w:rsidRPr="00821101">
              <w:rPr>
                <w:sz w:val="22"/>
                <w:szCs w:val="22"/>
              </w:rPr>
              <w:t>The grant scheme must be delivered to serve the interests of local business and workers. However, different options for delivery were considered including;</w:t>
            </w:r>
          </w:p>
          <w:p w:rsidR="005C1B66" w:rsidRPr="00821101" w:rsidRDefault="005C1B66" w:rsidP="006D382B">
            <w:pPr>
              <w:rPr>
                <w:sz w:val="22"/>
                <w:szCs w:val="22"/>
              </w:rPr>
            </w:pPr>
            <w:r w:rsidRPr="00821101">
              <w:rPr>
                <w:sz w:val="22"/>
                <w:szCs w:val="22"/>
              </w:rPr>
              <w:t>•</w:t>
            </w:r>
            <w:r w:rsidRPr="00821101">
              <w:rPr>
                <w:sz w:val="22"/>
                <w:szCs w:val="22"/>
              </w:rPr>
              <w:tab/>
              <w:t>First come first serve until monies are spent. Issues include fairness, possible poor VFM, and funding going to less serious cases of loss/costs.</w:t>
            </w:r>
          </w:p>
          <w:p w:rsidR="005C1B66" w:rsidRPr="00821101" w:rsidRDefault="005C1B66" w:rsidP="006D382B">
            <w:pPr>
              <w:rPr>
                <w:sz w:val="22"/>
                <w:szCs w:val="22"/>
              </w:rPr>
            </w:pPr>
            <w:r w:rsidRPr="00821101">
              <w:rPr>
                <w:sz w:val="22"/>
                <w:szCs w:val="22"/>
              </w:rPr>
              <w:t>•</w:t>
            </w:r>
            <w:r w:rsidRPr="00821101">
              <w:rPr>
                <w:sz w:val="22"/>
                <w:szCs w:val="22"/>
              </w:rPr>
              <w:tab/>
              <w:t>Widest possible interpretation with a detailed evaluation process. Issues include capacity to handle over-subscription and disappointment/wasted effort for local businesses.</w:t>
            </w:r>
          </w:p>
          <w:p w:rsidR="005C1B66" w:rsidRDefault="005C1B66" w:rsidP="006D382B">
            <w:r w:rsidRPr="00821101">
              <w:rPr>
                <w:sz w:val="22"/>
                <w:szCs w:val="22"/>
              </w:rPr>
              <w:t>•</w:t>
            </w:r>
            <w:r w:rsidRPr="00821101">
              <w:rPr>
                <w:sz w:val="22"/>
                <w:szCs w:val="22"/>
              </w:rPr>
              <w:tab/>
              <w:t>Focus round 1 on the four priority groups in the BEIS guidance with a light touch evaluation where demand outstrips supply. Evaluation to focus on financial need, employment levels, supply chain, and evidence of positive environmental and social impacts. The scheme might be widened to other business cohorts in a second round, if funding remains. This approach is intended to balance demand, with a desire to support businesses where it will be likely to lead to the most positive set of triple bottom line outcomes</w:t>
            </w:r>
          </w:p>
        </w:tc>
      </w:tr>
      <w:tr w:rsidR="005C1B66" w:rsidRPr="00C74FC0" w:rsidTr="00CC2D82">
        <w:tblPrEx>
          <w:tblCellMar>
            <w:top w:w="0" w:type="dxa"/>
            <w:left w:w="108" w:type="dxa"/>
            <w:right w:w="108" w:type="dxa"/>
          </w:tblCellMar>
          <w:tblLook w:val="04A0" w:firstRow="1" w:lastRow="0" w:firstColumn="1" w:lastColumn="0" w:noHBand="0" w:noVBand="1"/>
        </w:tblPrEx>
        <w:tc>
          <w:tcPr>
            <w:tcW w:w="3806" w:type="dxa"/>
            <w:gridSpan w:val="2"/>
            <w:tcBorders>
              <w:top w:val="single" w:sz="4" w:space="0" w:color="auto"/>
              <w:left w:val="single" w:sz="4" w:space="0" w:color="auto"/>
              <w:bottom w:val="single" w:sz="4" w:space="0" w:color="auto"/>
              <w:right w:val="single" w:sz="4" w:space="0" w:color="auto"/>
            </w:tcBorders>
            <w:shd w:val="clear" w:color="auto" w:fill="auto"/>
          </w:tcPr>
          <w:p w:rsidR="005C1B66" w:rsidRPr="00C74FC0" w:rsidRDefault="005C1B66" w:rsidP="00821101">
            <w:pPr>
              <w:pStyle w:val="Normal15"/>
              <w:jc w:val="both"/>
              <w:rPr>
                <w:b/>
                <w:bCs/>
                <w:szCs w:val="22"/>
              </w:rPr>
            </w:pPr>
            <w:r w:rsidRPr="00C74FC0">
              <w:rPr>
                <w:b/>
                <w:bCs/>
                <w:szCs w:val="22"/>
              </w:rPr>
              <w:t>Wards</w:t>
            </w:r>
            <w:r w:rsidR="00821101">
              <w:rPr>
                <w:b/>
                <w:bCs/>
                <w:szCs w:val="22"/>
              </w:rPr>
              <w:t xml:space="preserve"> significantly </w:t>
            </w:r>
            <w:r w:rsidRPr="00C74FC0">
              <w:rPr>
                <w:b/>
                <w:bCs/>
                <w:szCs w:val="22"/>
              </w:rPr>
              <w:t>affected</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5C1B66" w:rsidRPr="00C74FC0" w:rsidRDefault="00AB5686" w:rsidP="006D382B">
            <w:pPr>
              <w:pStyle w:val="Normal15"/>
              <w:jc w:val="both"/>
            </w:pPr>
            <w:r>
              <w:t>None</w:t>
            </w:r>
          </w:p>
        </w:tc>
      </w:tr>
      <w:tr w:rsidR="005C1B66" w:rsidRPr="00C74FC0" w:rsidTr="00CC2D82">
        <w:tblPrEx>
          <w:tblCellMar>
            <w:top w:w="0" w:type="dxa"/>
            <w:left w:w="108" w:type="dxa"/>
            <w:right w:w="108" w:type="dxa"/>
          </w:tblCellMar>
          <w:tblLook w:val="04A0" w:firstRow="1" w:lastRow="0" w:firstColumn="1" w:lastColumn="0" w:noHBand="0" w:noVBand="1"/>
        </w:tblPrEx>
        <w:tc>
          <w:tcPr>
            <w:tcW w:w="3806" w:type="dxa"/>
            <w:gridSpan w:val="2"/>
            <w:tcBorders>
              <w:top w:val="single" w:sz="4" w:space="0" w:color="auto"/>
              <w:left w:val="single" w:sz="4" w:space="0" w:color="auto"/>
              <w:bottom w:val="single" w:sz="4" w:space="0" w:color="auto"/>
              <w:right w:val="single" w:sz="4" w:space="0" w:color="auto"/>
            </w:tcBorders>
            <w:shd w:val="clear" w:color="auto" w:fill="auto"/>
          </w:tcPr>
          <w:p w:rsidR="005C1B66" w:rsidRPr="00C74FC0" w:rsidRDefault="005C1B66" w:rsidP="006D382B">
            <w:pPr>
              <w:pStyle w:val="Normal15"/>
              <w:jc w:val="both"/>
              <w:rPr>
                <w:b/>
                <w:bCs/>
                <w:szCs w:val="22"/>
              </w:rPr>
            </w:pPr>
            <w:r w:rsidRPr="00C74FC0">
              <w:rPr>
                <w:b/>
                <w:bCs/>
                <w:szCs w:val="22"/>
              </w:rPr>
              <w:t>Declared conflict of interest:</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5C1B66" w:rsidRPr="00C74FC0" w:rsidRDefault="005C1B66" w:rsidP="006D382B">
            <w:pPr>
              <w:pStyle w:val="Normal15"/>
              <w:jc w:val="both"/>
              <w:rPr>
                <w:bCs/>
                <w:szCs w:val="22"/>
              </w:rPr>
            </w:pPr>
            <w:r w:rsidRPr="00C74FC0">
              <w:t>None</w:t>
            </w:r>
          </w:p>
        </w:tc>
      </w:tr>
    </w:tbl>
    <w:p w:rsidR="005C1B66" w:rsidRDefault="005C1B66" w:rsidP="000C3011">
      <w:pPr>
        <w:pStyle w:val="ListParagraph"/>
        <w:numPr>
          <w:ilvl w:val="0"/>
          <w:numId w:val="0"/>
        </w:numPr>
        <w:ind w:left="426"/>
      </w:pPr>
    </w:p>
    <w:p w:rsidR="00B365E3" w:rsidRDefault="00B365E3" w:rsidP="00B365E3">
      <w:pPr>
        <w:pStyle w:val="Heading1"/>
      </w:pPr>
      <w:r>
        <w:t>Financial issues</w:t>
      </w:r>
    </w:p>
    <w:p w:rsidR="00B365E3" w:rsidRDefault="00D35A7A" w:rsidP="00993F51">
      <w:pPr>
        <w:pStyle w:val="ListParagraph"/>
        <w:ind w:left="426" w:hanging="426"/>
      </w:pPr>
      <w:r>
        <w:t>There are no financial issues arising beyond those set out in the documents attached to the published decisions.</w:t>
      </w:r>
    </w:p>
    <w:p w:rsidR="00B365E3" w:rsidRDefault="00B365E3" w:rsidP="00D35A7A">
      <w:pPr>
        <w:pStyle w:val="Heading1"/>
      </w:pPr>
      <w:r>
        <w:t>Legal issues</w:t>
      </w:r>
    </w:p>
    <w:p w:rsidR="00B365E3" w:rsidRDefault="00D35A7A" w:rsidP="00993F51">
      <w:pPr>
        <w:pStyle w:val="ListParagraph"/>
        <w:ind w:left="426" w:hanging="426"/>
      </w:pPr>
      <w:r>
        <w:t xml:space="preserve">The </w:t>
      </w:r>
      <w:r w:rsidR="00DC3B68">
        <w:t xml:space="preserve">urgency and </w:t>
      </w:r>
      <w:r>
        <w:t>emergency powers</w:t>
      </w:r>
      <w:r w:rsidR="00DB59F5">
        <w:t xml:space="preserve"> of the Head of Paid Service (Chief Executive)</w:t>
      </w:r>
      <w:r>
        <w:t xml:space="preserve"> are set out in the Constitution. </w:t>
      </w:r>
    </w:p>
    <w:p w:rsidR="00B12E70" w:rsidRDefault="00B12E70" w:rsidP="009B76B7">
      <w:pPr>
        <w:pStyle w:val="ListParagraph"/>
        <w:numPr>
          <w:ilvl w:val="0"/>
          <w:numId w:val="0"/>
        </w:numPr>
        <w:spacing w:after="0"/>
        <w:ind w:left="720"/>
      </w:pPr>
    </w:p>
    <w:p w:rsidR="00CB2FF8" w:rsidRPr="001356F1" w:rsidRDefault="00CB2FF8" w:rsidP="009B76B7">
      <w:pPr>
        <w:pStyle w:val="ListParagraph"/>
        <w:numPr>
          <w:ilvl w:val="0"/>
          <w:numId w:val="0"/>
        </w:numPr>
        <w:spacing w:after="0"/>
        <w:ind w:left="72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12E70" w:rsidRPr="001356F1" w:rsidTr="0024047D">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B12E70" w:rsidRPr="001356F1" w:rsidRDefault="00B12E70" w:rsidP="0024047D">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B12E70" w:rsidRPr="001356F1" w:rsidRDefault="00B12E70" w:rsidP="0024047D">
            <w:r>
              <w:t>Andrew Brown</w:t>
            </w:r>
          </w:p>
        </w:tc>
      </w:tr>
      <w:tr w:rsidR="00B12E70" w:rsidRPr="001356F1" w:rsidTr="0024047D">
        <w:trPr>
          <w:cantSplit/>
          <w:trHeight w:val="396"/>
        </w:trPr>
        <w:tc>
          <w:tcPr>
            <w:tcW w:w="3969" w:type="dxa"/>
            <w:tcBorders>
              <w:top w:val="single" w:sz="8" w:space="0" w:color="000000"/>
              <w:left w:val="single" w:sz="8" w:space="0" w:color="000000"/>
              <w:bottom w:val="nil"/>
              <w:right w:val="nil"/>
            </w:tcBorders>
            <w:shd w:val="clear" w:color="auto" w:fill="auto"/>
          </w:tcPr>
          <w:p w:rsidR="00B12E70" w:rsidRPr="001356F1" w:rsidRDefault="00B12E70" w:rsidP="0024047D">
            <w:r w:rsidRPr="001356F1">
              <w:t>Job title</w:t>
            </w:r>
          </w:p>
        </w:tc>
        <w:tc>
          <w:tcPr>
            <w:tcW w:w="4962" w:type="dxa"/>
            <w:tcBorders>
              <w:top w:val="single" w:sz="8" w:space="0" w:color="000000"/>
              <w:left w:val="nil"/>
              <w:bottom w:val="nil"/>
              <w:right w:val="single" w:sz="8" w:space="0" w:color="000000"/>
            </w:tcBorders>
            <w:shd w:val="clear" w:color="auto" w:fill="auto"/>
          </w:tcPr>
          <w:p w:rsidR="00B12E70" w:rsidRPr="001356F1" w:rsidRDefault="00B12E70" w:rsidP="0024047D">
            <w:r>
              <w:t>Committee and Member Services Manager</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Service area or department</w:t>
            </w:r>
          </w:p>
        </w:tc>
        <w:tc>
          <w:tcPr>
            <w:tcW w:w="4962" w:type="dxa"/>
            <w:tcBorders>
              <w:top w:val="nil"/>
              <w:left w:val="nil"/>
              <w:bottom w:val="nil"/>
              <w:right w:val="single" w:sz="8" w:space="0" w:color="000000"/>
            </w:tcBorders>
            <w:shd w:val="clear" w:color="auto" w:fill="auto"/>
          </w:tcPr>
          <w:p w:rsidR="00B12E70" w:rsidRPr="001356F1" w:rsidRDefault="00B12E70" w:rsidP="0024047D">
            <w:r>
              <w:t>Law and Governance</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 xml:space="preserve">Telephone </w:t>
            </w:r>
          </w:p>
        </w:tc>
        <w:tc>
          <w:tcPr>
            <w:tcW w:w="4962" w:type="dxa"/>
            <w:tcBorders>
              <w:top w:val="nil"/>
              <w:left w:val="nil"/>
              <w:bottom w:val="nil"/>
              <w:right w:val="single" w:sz="8" w:space="0" w:color="000000"/>
            </w:tcBorders>
            <w:shd w:val="clear" w:color="auto" w:fill="auto"/>
          </w:tcPr>
          <w:p w:rsidR="00B12E70" w:rsidRPr="001356F1" w:rsidRDefault="00B12E70" w:rsidP="0024047D">
            <w:r>
              <w:t>01865 252230</w:t>
            </w:r>
          </w:p>
        </w:tc>
      </w:tr>
      <w:tr w:rsidR="00B12E70" w:rsidRPr="001356F1" w:rsidTr="0024047D">
        <w:trPr>
          <w:cantSplit/>
          <w:trHeight w:val="396"/>
        </w:trPr>
        <w:tc>
          <w:tcPr>
            <w:tcW w:w="3969" w:type="dxa"/>
            <w:tcBorders>
              <w:top w:val="nil"/>
              <w:left w:val="single" w:sz="8" w:space="0" w:color="000000"/>
              <w:bottom w:val="single" w:sz="8" w:space="0" w:color="000000"/>
              <w:right w:val="nil"/>
            </w:tcBorders>
            <w:shd w:val="clear" w:color="auto" w:fill="auto"/>
          </w:tcPr>
          <w:p w:rsidR="00B12E70" w:rsidRPr="001356F1" w:rsidRDefault="00B12E70" w:rsidP="0024047D">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B12E70" w:rsidRPr="001356F1" w:rsidRDefault="00B12E70" w:rsidP="0024047D">
            <w:pPr>
              <w:rPr>
                <w:rStyle w:val="Hyperlink"/>
                <w:color w:val="000000"/>
              </w:rPr>
            </w:pPr>
            <w:r>
              <w:rPr>
                <w:rStyle w:val="Hyperlink"/>
                <w:color w:val="000000"/>
              </w:rPr>
              <w:t>abrown2@oxford.gov.uk</w:t>
            </w:r>
          </w:p>
        </w:tc>
      </w:tr>
    </w:tbl>
    <w:p w:rsidR="00CB2FF8" w:rsidRDefault="00CB2FF8" w:rsidP="00CB2FF8">
      <w:pPr>
        <w:spacing w:after="0"/>
        <w:rPr>
          <w:rStyle w:val="Firstpagetablebol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B2FF8" w:rsidRPr="001356F1" w:rsidTr="00B01B1E">
        <w:tc>
          <w:tcPr>
            <w:tcW w:w="8931" w:type="dxa"/>
            <w:tcBorders>
              <w:top w:val="single" w:sz="4" w:space="0" w:color="auto"/>
              <w:left w:val="single" w:sz="4" w:space="0" w:color="auto"/>
              <w:bottom w:val="single" w:sz="8" w:space="0" w:color="000000"/>
              <w:right w:val="single" w:sz="4" w:space="0" w:color="auto"/>
            </w:tcBorders>
            <w:shd w:val="clear" w:color="auto" w:fill="auto"/>
          </w:tcPr>
          <w:p w:rsidR="00CB2FF8" w:rsidRPr="001356F1" w:rsidRDefault="00CB2FF8" w:rsidP="00B01B1E">
            <w:r w:rsidRPr="001356F1">
              <w:rPr>
                <w:rStyle w:val="Firstpagetablebold"/>
              </w:rPr>
              <w:t>Background Papers: None</w:t>
            </w:r>
          </w:p>
        </w:tc>
      </w:tr>
    </w:tbl>
    <w:p w:rsidR="00CB2FF8" w:rsidRDefault="00CB2FF8" w:rsidP="00CB2FF8">
      <w:pPr>
        <w:spacing w:before="240" w:after="0"/>
        <w:rPr>
          <w:lang w:eastAsia="en-GB"/>
        </w:rPr>
      </w:pPr>
    </w:p>
    <w:sectPr w:rsidR="00CB2FF8" w:rsidSect="00D35A7A">
      <w:pgSz w:w="11907" w:h="16840" w:code="9"/>
      <w:pgMar w:top="1304" w:right="1304" w:bottom="1304" w:left="130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9D7" w:rsidRDefault="00AD19D7" w:rsidP="00BB4116">
      <w:r>
        <w:separator/>
      </w:r>
    </w:p>
    <w:p w:rsidR="00AD19D7" w:rsidRDefault="00AD19D7" w:rsidP="00BB4116"/>
  </w:endnote>
  <w:endnote w:type="continuationSeparator" w:id="0">
    <w:p w:rsidR="00AD19D7" w:rsidRDefault="00AD19D7" w:rsidP="00BB4116">
      <w:r>
        <w:continuationSeparator/>
      </w:r>
    </w:p>
    <w:p w:rsidR="00AD19D7" w:rsidRDefault="00AD19D7" w:rsidP="00BB4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9D7" w:rsidRDefault="00AD19D7" w:rsidP="00BB4116">
      <w:r>
        <w:separator/>
      </w:r>
    </w:p>
    <w:p w:rsidR="00AD19D7" w:rsidRDefault="00AD19D7" w:rsidP="00BB4116"/>
  </w:footnote>
  <w:footnote w:type="continuationSeparator" w:id="0">
    <w:p w:rsidR="00AD19D7" w:rsidRDefault="00AD19D7" w:rsidP="00BB4116">
      <w:r>
        <w:continuationSeparator/>
      </w:r>
    </w:p>
    <w:p w:rsidR="00AD19D7" w:rsidRDefault="00AD19D7" w:rsidP="00BB41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24390B"/>
    <w:multiLevelType w:val="hybridMultilevel"/>
    <w:tmpl w:val="7FDEDF4C"/>
    <w:lvl w:ilvl="0" w:tplc="FEDA9576">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9CE4A1C"/>
    <w:multiLevelType w:val="hybridMultilevel"/>
    <w:tmpl w:val="065EBA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26"/>
    <w:rsid w:val="000C3011"/>
    <w:rsid w:val="001D1097"/>
    <w:rsid w:val="0026383C"/>
    <w:rsid w:val="00286CF6"/>
    <w:rsid w:val="00347BAC"/>
    <w:rsid w:val="00347C6E"/>
    <w:rsid w:val="00371BAC"/>
    <w:rsid w:val="003D56D2"/>
    <w:rsid w:val="0043307F"/>
    <w:rsid w:val="004D29FE"/>
    <w:rsid w:val="005043A3"/>
    <w:rsid w:val="00560426"/>
    <w:rsid w:val="005C1B66"/>
    <w:rsid w:val="0061040F"/>
    <w:rsid w:val="006E23EA"/>
    <w:rsid w:val="0076343A"/>
    <w:rsid w:val="007D79E8"/>
    <w:rsid w:val="00821101"/>
    <w:rsid w:val="0099330A"/>
    <w:rsid w:val="00993F51"/>
    <w:rsid w:val="009B76B7"/>
    <w:rsid w:val="009C0464"/>
    <w:rsid w:val="00A608BE"/>
    <w:rsid w:val="00AB5686"/>
    <w:rsid w:val="00AD19D7"/>
    <w:rsid w:val="00B12E70"/>
    <w:rsid w:val="00B30803"/>
    <w:rsid w:val="00B365E3"/>
    <w:rsid w:val="00B946D4"/>
    <w:rsid w:val="00BB4116"/>
    <w:rsid w:val="00BC313A"/>
    <w:rsid w:val="00CB1D9E"/>
    <w:rsid w:val="00CB2FF8"/>
    <w:rsid w:val="00CC2D82"/>
    <w:rsid w:val="00CD377E"/>
    <w:rsid w:val="00CF05DA"/>
    <w:rsid w:val="00D23270"/>
    <w:rsid w:val="00D35A7A"/>
    <w:rsid w:val="00DB42E2"/>
    <w:rsid w:val="00DB59F5"/>
    <w:rsid w:val="00DC3B68"/>
    <w:rsid w:val="00ED0FD4"/>
    <w:rsid w:val="00EF4BF4"/>
    <w:rsid w:val="00F9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4B4E074A-310F-4DDB-8875-3D7E7B8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16"/>
    <w:pPr>
      <w:tabs>
        <w:tab w:val="left" w:pos="426"/>
      </w:tabs>
      <w:spacing w:after="120"/>
    </w:pPr>
    <w:rPr>
      <w:rFonts w:ascii="Arial" w:hAnsi="Arial"/>
      <w:sz w:val="24"/>
      <w:lang w:eastAsia="en-US"/>
    </w:rPr>
  </w:style>
  <w:style w:type="paragraph" w:styleId="Heading1">
    <w:name w:val="heading 1"/>
    <w:basedOn w:val="Normal"/>
    <w:next w:val="Normal"/>
    <w:qFormat/>
    <w:rsid w:val="00BB4116"/>
    <w:pPr>
      <w:spacing w:before="100" w:beforeAutospacing="1" w:after="100" w:afterAutospacing="1"/>
      <w:outlineLvl w:val="0"/>
    </w:pPr>
    <w:rPr>
      <w:rFonts w:eastAsia="Arial Unicode MS" w:cs="Arial"/>
      <w:b/>
      <w:szCs w:val="22"/>
    </w:rPr>
  </w:style>
  <w:style w:type="paragraph" w:styleId="Heading2">
    <w:name w:val="heading 2"/>
    <w:basedOn w:val="Normal"/>
    <w:next w:val="Normal"/>
    <w:qFormat/>
    <w:pPr>
      <w:keepNext/>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jc w:val="both"/>
    </w:pPr>
    <w:rPr>
      <w:lang w:val="x-none"/>
    </w:rPr>
  </w:style>
  <w:style w:type="paragraph" w:customStyle="1" w:styleId="indent1">
    <w:name w:val="indent1"/>
    <w:basedOn w:val="Normal"/>
    <w:pPr>
      <w:tabs>
        <w:tab w:val="left" w:pos="720"/>
        <w:tab w:val="left" w:pos="1440"/>
      </w:tabs>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NormalIndent">
    <w:name w:val="Normal Indent"/>
    <w:basedOn w:val="Normal"/>
    <w:pPr>
      <w:spacing w:after="240"/>
      <w:ind w:left="720"/>
      <w:jc w:val="both"/>
    </w:pPr>
    <w:rPr>
      <w:sz w:val="22"/>
    </w:rPr>
  </w:style>
  <w:style w:type="paragraph" w:styleId="Title">
    <w:name w:val="Title"/>
    <w:basedOn w:val="Normal"/>
    <w:qFormat/>
    <w:pPr>
      <w:spacing w:after="0"/>
      <w:jc w:val="center"/>
      <w:outlineLvl w:val="0"/>
    </w:pPr>
    <w:rPr>
      <w:b/>
    </w:rPr>
  </w:style>
  <w:style w:type="paragraph" w:styleId="BodyTextIndent">
    <w:name w:val="Body Text Indent"/>
    <w:basedOn w:val="Normal"/>
    <w:pPr>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semiHidden/>
    <w:unhideWhenUsed/>
    <w:rsid w:val="003D70BA"/>
    <w:pPr>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paragraph" w:customStyle="1" w:styleId="Normal1">
    <w:name w:val="Normal_1"/>
    <w:rsid w:val="00561E4E"/>
    <w:pPr>
      <w:overflowPunct w:val="0"/>
      <w:autoSpaceDE w:val="0"/>
      <w:autoSpaceDN w:val="0"/>
      <w:adjustRightInd w:val="0"/>
      <w:textAlignment w:val="baseline"/>
    </w:pPr>
    <w:rPr>
      <w:rFonts w:ascii="Arial" w:hAnsi="Arial"/>
      <w:sz w:val="22"/>
      <w:lang w:eastAsia="en-US"/>
    </w:rPr>
  </w:style>
  <w:style w:type="paragraph" w:customStyle="1" w:styleId="TableParagraph">
    <w:name w:val="Table Paragraph"/>
    <w:basedOn w:val="Normal"/>
    <w:uiPriority w:val="1"/>
    <w:qFormat/>
    <w:pPr>
      <w:widowControl w:val="0"/>
      <w:autoSpaceDE w:val="0"/>
      <w:autoSpaceDN w:val="0"/>
      <w:ind w:left="105"/>
    </w:pPr>
    <w:rPr>
      <w:rFonts w:eastAsia="Arial" w:cs="Arial"/>
      <w:sz w:val="22"/>
      <w:szCs w:val="22"/>
      <w:lang w:bidi="en-GB"/>
    </w:rPr>
  </w:style>
  <w:style w:type="paragraph" w:styleId="ListParagraph">
    <w:name w:val="List Paragraph"/>
    <w:basedOn w:val="Normal"/>
    <w:link w:val="ListParagraphChar"/>
    <w:uiPriority w:val="34"/>
    <w:qFormat/>
    <w:rsid w:val="00BB4116"/>
    <w:pPr>
      <w:numPr>
        <w:numId w:val="2"/>
      </w:numPr>
    </w:pPr>
  </w:style>
  <w:style w:type="paragraph" w:customStyle="1" w:styleId="Normal2">
    <w:name w:val="Normal_2"/>
    <w:rsid w:val="00561E4E"/>
    <w:pPr>
      <w:overflowPunct w:val="0"/>
      <w:autoSpaceDE w:val="0"/>
      <w:autoSpaceDN w:val="0"/>
      <w:adjustRightInd w:val="0"/>
      <w:textAlignment w:val="baseline"/>
    </w:pPr>
    <w:rPr>
      <w:rFonts w:ascii="Arial" w:hAnsi="Arial"/>
      <w:sz w:val="22"/>
      <w:lang w:eastAsia="en-US"/>
    </w:rPr>
  </w:style>
  <w:style w:type="paragraph" w:customStyle="1" w:styleId="Normal3">
    <w:name w:val="Normal_3"/>
    <w:rsid w:val="00561E4E"/>
    <w:pPr>
      <w:overflowPunct w:val="0"/>
      <w:autoSpaceDE w:val="0"/>
      <w:autoSpaceDN w:val="0"/>
      <w:adjustRightInd w:val="0"/>
      <w:textAlignment w:val="baseline"/>
    </w:pPr>
    <w:rPr>
      <w:rFonts w:ascii="Arial" w:hAnsi="Arial"/>
      <w:sz w:val="22"/>
      <w:lang w:eastAsia="en-US"/>
    </w:rPr>
  </w:style>
  <w:style w:type="paragraph" w:customStyle="1" w:styleId="Normal4">
    <w:name w:val="Normal_4"/>
    <w:rsid w:val="00561E4E"/>
    <w:pPr>
      <w:overflowPunct w:val="0"/>
      <w:autoSpaceDE w:val="0"/>
      <w:autoSpaceDN w:val="0"/>
      <w:adjustRightInd w:val="0"/>
      <w:textAlignment w:val="baseline"/>
    </w:pPr>
    <w:rPr>
      <w:rFonts w:ascii="Arial" w:hAnsi="Arial"/>
      <w:sz w:val="22"/>
      <w:lang w:eastAsia="en-US"/>
    </w:rPr>
  </w:style>
  <w:style w:type="paragraph" w:customStyle="1" w:styleId="Normal5">
    <w:name w:val="Normal_5"/>
    <w:rsid w:val="00561E4E"/>
    <w:pPr>
      <w:overflowPunct w:val="0"/>
      <w:autoSpaceDE w:val="0"/>
      <w:autoSpaceDN w:val="0"/>
      <w:adjustRightInd w:val="0"/>
      <w:textAlignment w:val="baseline"/>
    </w:pPr>
    <w:rPr>
      <w:rFonts w:ascii="Arial" w:hAnsi="Arial"/>
      <w:sz w:val="22"/>
      <w:lang w:eastAsia="en-US"/>
    </w:rPr>
  </w:style>
  <w:style w:type="paragraph" w:customStyle="1" w:styleId="Normal6">
    <w:name w:val="Normal_6"/>
    <w:rsid w:val="00561E4E"/>
    <w:pPr>
      <w:overflowPunct w:val="0"/>
      <w:autoSpaceDE w:val="0"/>
      <w:autoSpaceDN w:val="0"/>
      <w:adjustRightInd w:val="0"/>
      <w:textAlignment w:val="baseline"/>
    </w:pPr>
    <w:rPr>
      <w:rFonts w:ascii="Arial" w:hAnsi="Arial"/>
      <w:sz w:val="22"/>
      <w:lang w:eastAsia="en-US"/>
    </w:rPr>
  </w:style>
  <w:style w:type="paragraph" w:customStyle="1" w:styleId="Normal7">
    <w:name w:val="Normal_7"/>
    <w:rsid w:val="00561E4E"/>
    <w:pPr>
      <w:overflowPunct w:val="0"/>
      <w:autoSpaceDE w:val="0"/>
      <w:autoSpaceDN w:val="0"/>
      <w:adjustRightInd w:val="0"/>
      <w:textAlignment w:val="baseline"/>
    </w:pPr>
    <w:rPr>
      <w:rFonts w:ascii="Arial" w:hAnsi="Arial"/>
      <w:sz w:val="22"/>
      <w:lang w:eastAsia="en-US"/>
    </w:rPr>
  </w:style>
  <w:style w:type="paragraph" w:customStyle="1" w:styleId="Normal8">
    <w:name w:val="Normal_8"/>
    <w:rsid w:val="00561E4E"/>
    <w:pPr>
      <w:overflowPunct w:val="0"/>
      <w:autoSpaceDE w:val="0"/>
      <w:autoSpaceDN w:val="0"/>
      <w:adjustRightInd w:val="0"/>
      <w:textAlignment w:val="baseline"/>
    </w:pPr>
    <w:rPr>
      <w:rFonts w:ascii="Arial" w:hAnsi="Arial"/>
      <w:sz w:val="22"/>
      <w:lang w:eastAsia="en-US"/>
    </w:rPr>
  </w:style>
  <w:style w:type="paragraph" w:customStyle="1" w:styleId="Normal9">
    <w:name w:val="Normal_9"/>
    <w:rsid w:val="00561E4E"/>
    <w:pPr>
      <w:overflowPunct w:val="0"/>
      <w:autoSpaceDE w:val="0"/>
      <w:autoSpaceDN w:val="0"/>
      <w:adjustRightInd w:val="0"/>
      <w:textAlignment w:val="baseline"/>
    </w:pPr>
    <w:rPr>
      <w:rFonts w:ascii="Arial" w:hAnsi="Arial"/>
      <w:sz w:val="22"/>
      <w:lang w:eastAsia="en-US"/>
    </w:rPr>
  </w:style>
  <w:style w:type="paragraph" w:customStyle="1" w:styleId="Normal10">
    <w:name w:val="Normal_10"/>
    <w:rsid w:val="00561E4E"/>
    <w:pPr>
      <w:overflowPunct w:val="0"/>
      <w:autoSpaceDE w:val="0"/>
      <w:autoSpaceDN w:val="0"/>
      <w:adjustRightInd w:val="0"/>
      <w:textAlignment w:val="baseline"/>
    </w:pPr>
    <w:rPr>
      <w:rFonts w:ascii="Arial" w:hAnsi="Arial"/>
      <w:sz w:val="22"/>
      <w:lang w:eastAsia="en-US"/>
    </w:rPr>
  </w:style>
  <w:style w:type="paragraph" w:customStyle="1" w:styleId="Normal11">
    <w:name w:val="Normal_11"/>
    <w:rsid w:val="00561E4E"/>
    <w:pPr>
      <w:overflowPunct w:val="0"/>
      <w:autoSpaceDE w:val="0"/>
      <w:autoSpaceDN w:val="0"/>
      <w:adjustRightInd w:val="0"/>
      <w:textAlignment w:val="baseline"/>
    </w:pPr>
    <w:rPr>
      <w:rFonts w:ascii="Arial" w:hAnsi="Arial"/>
      <w:sz w:val="22"/>
      <w:lang w:eastAsia="en-US"/>
    </w:rPr>
  </w:style>
  <w:style w:type="paragraph" w:customStyle="1" w:styleId="Normal12">
    <w:name w:val="Normal_12"/>
    <w:rsid w:val="00561E4E"/>
    <w:pPr>
      <w:overflowPunct w:val="0"/>
      <w:autoSpaceDE w:val="0"/>
      <w:autoSpaceDN w:val="0"/>
      <w:adjustRightInd w:val="0"/>
      <w:textAlignment w:val="baseline"/>
    </w:pPr>
    <w:rPr>
      <w:rFonts w:ascii="Arial" w:hAnsi="Arial"/>
      <w:sz w:val="22"/>
      <w:lang w:eastAsia="en-US"/>
    </w:rPr>
  </w:style>
  <w:style w:type="character" w:customStyle="1" w:styleId="spelle">
    <w:name w:val="spelle"/>
    <w:basedOn w:val="DefaultParagraphFont"/>
    <w:rsid w:val="00DB42E2"/>
  </w:style>
  <w:style w:type="character" w:customStyle="1" w:styleId="Firstpagetablebold">
    <w:name w:val="First page table: bold"/>
    <w:qFormat/>
    <w:rsid w:val="00BB4116"/>
    <w:rPr>
      <w:rFonts w:ascii="Arial" w:hAnsi="Arial" w:cs="Arial" w:hint="default"/>
      <w:b/>
      <w:bCs w:val="0"/>
      <w:sz w:val="24"/>
    </w:rPr>
  </w:style>
  <w:style w:type="character" w:customStyle="1" w:styleId="ListParagraphChar">
    <w:name w:val="List Paragraph Char"/>
    <w:link w:val="ListParagraph"/>
    <w:uiPriority w:val="34"/>
    <w:locked/>
    <w:rsid w:val="00BB4116"/>
    <w:rPr>
      <w:rFonts w:ascii="Arial" w:hAnsi="Arial"/>
      <w:sz w:val="24"/>
      <w:lang w:eastAsia="en-US"/>
    </w:rPr>
  </w:style>
  <w:style w:type="numbering" w:customStyle="1" w:styleId="StyleNumberedLeft0cmHanging075cm">
    <w:name w:val="Style Numbered Left:  0 cm Hanging:  0.75 cm"/>
    <w:rsid w:val="00BB4116"/>
    <w:pPr>
      <w:numPr>
        <w:numId w:val="1"/>
      </w:numPr>
    </w:pPr>
  </w:style>
  <w:style w:type="paragraph" w:customStyle="1" w:styleId="Normal14">
    <w:name w:val="Normal_14"/>
    <w:qFormat/>
    <w:rsid w:val="005C1B66"/>
    <w:pPr>
      <w:overflowPunct w:val="0"/>
      <w:autoSpaceDE w:val="0"/>
      <w:autoSpaceDN w:val="0"/>
      <w:adjustRightInd w:val="0"/>
      <w:textAlignment w:val="baseline"/>
    </w:pPr>
    <w:rPr>
      <w:rFonts w:ascii="Arial" w:hAnsi="Arial"/>
      <w:sz w:val="22"/>
      <w:lang w:eastAsia="en-US"/>
    </w:rPr>
  </w:style>
  <w:style w:type="paragraph" w:customStyle="1" w:styleId="Normal15">
    <w:name w:val="Normal_15"/>
    <w:qFormat/>
    <w:rsid w:val="005C1B66"/>
    <w:pPr>
      <w:overflowPunct w:val="0"/>
      <w:autoSpaceDE w:val="0"/>
      <w:autoSpaceDN w:val="0"/>
      <w:adjustRightInd w:val="0"/>
      <w:textAlignment w:val="baseline"/>
    </w:pPr>
    <w:rPr>
      <w:rFonts w:ascii="Arial" w:hAnsi="Arial"/>
      <w:sz w:val="22"/>
      <w:lang w:eastAsia="en-US"/>
    </w:rPr>
  </w:style>
  <w:style w:type="paragraph" w:customStyle="1" w:styleId="Normal16">
    <w:name w:val="Normal_16"/>
    <w:qFormat/>
    <w:rsid w:val="005C1B66"/>
    <w:pPr>
      <w:overflowPunct w:val="0"/>
      <w:autoSpaceDE w:val="0"/>
      <w:autoSpaceDN w:val="0"/>
      <w:adjustRightInd w:val="0"/>
      <w:textAlignment w:val="baseline"/>
    </w:pPr>
    <w:rPr>
      <w:rFonts w:ascii="Arial" w:hAnsi="Arial"/>
      <w:sz w:val="22"/>
      <w:lang w:eastAsia="en-US"/>
    </w:rPr>
  </w:style>
  <w:style w:type="paragraph" w:customStyle="1" w:styleId="Normal17">
    <w:name w:val="Normal_17"/>
    <w:qFormat/>
    <w:rsid w:val="00CC2D82"/>
    <w:pPr>
      <w:overflowPunct w:val="0"/>
      <w:autoSpaceDE w:val="0"/>
      <w:autoSpaceDN w:val="0"/>
      <w:adjustRightInd w:val="0"/>
      <w:textAlignment w:val="baseline"/>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9332">
      <w:bodyDiv w:val="1"/>
      <w:marLeft w:val="0"/>
      <w:marRight w:val="0"/>
      <w:marTop w:val="0"/>
      <w:marBottom w:val="0"/>
      <w:divBdr>
        <w:top w:val="none" w:sz="0" w:space="0" w:color="auto"/>
        <w:left w:val="none" w:sz="0" w:space="0" w:color="auto"/>
        <w:bottom w:val="none" w:sz="0" w:space="0" w:color="auto"/>
        <w:right w:val="none" w:sz="0" w:space="0" w:color="auto"/>
      </w:divBdr>
    </w:div>
    <w:div w:id="300964134">
      <w:bodyDiv w:val="1"/>
      <w:marLeft w:val="0"/>
      <w:marRight w:val="0"/>
      <w:marTop w:val="0"/>
      <w:marBottom w:val="0"/>
      <w:divBdr>
        <w:top w:val="none" w:sz="0" w:space="0" w:color="auto"/>
        <w:left w:val="none" w:sz="0" w:space="0" w:color="auto"/>
        <w:bottom w:val="none" w:sz="0" w:space="0" w:color="auto"/>
        <w:right w:val="none" w:sz="0" w:space="0" w:color="auto"/>
      </w:divBdr>
    </w:div>
    <w:div w:id="767310755">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956066716">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15468858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230459725">
      <w:bodyDiv w:val="1"/>
      <w:marLeft w:val="0"/>
      <w:marRight w:val="0"/>
      <w:marTop w:val="0"/>
      <w:marBottom w:val="0"/>
      <w:divBdr>
        <w:top w:val="none" w:sz="0" w:space="0" w:color="auto"/>
        <w:left w:val="none" w:sz="0" w:space="0" w:color="auto"/>
        <w:bottom w:val="none" w:sz="0" w:space="0" w:color="auto"/>
        <w:right w:val="none" w:sz="0" w:space="0" w:color="auto"/>
      </w:divBdr>
    </w:div>
    <w:div w:id="1465199682">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68508668">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19889305">
      <w:bodyDiv w:val="1"/>
      <w:marLeft w:val="0"/>
      <w:marRight w:val="0"/>
      <w:marTop w:val="0"/>
      <w:marBottom w:val="0"/>
      <w:divBdr>
        <w:top w:val="none" w:sz="0" w:space="0" w:color="auto"/>
        <w:left w:val="none" w:sz="0" w:space="0" w:color="auto"/>
        <w:bottom w:val="none" w:sz="0" w:space="0" w:color="auto"/>
        <w:right w:val="none" w:sz="0" w:space="0" w:color="auto"/>
      </w:divBdr>
    </w:div>
    <w:div w:id="2042822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nsideocc/styleguide/logos/occ_b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19CAB-0F88-458C-B76F-EE47FC5F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93E97786</Template>
  <TotalTime>0</TotalTime>
  <Pages>8</Pages>
  <Words>1305</Words>
  <Characters>7095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Forward Plan, Test decision digest 2020 Decisions Digest Document 01/05/2020</vt:lpstr>
    </vt:vector>
  </TitlesOfParts>
  <Company/>
  <LinksUpToDate>false</LinksUpToDate>
  <CharactersWithSpaces>8384</CharactersWithSpaces>
  <SharedDoc>false</SharedDoc>
  <HLinks>
    <vt:vector size="6" baseType="variant">
      <vt:variant>
        <vt:i4>2687043</vt:i4>
      </vt:variant>
      <vt:variant>
        <vt:i4>-1</vt:i4>
      </vt:variant>
      <vt:variant>
        <vt:i4>1025</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Plan, Test decision digest 2020 Decisions Digest Document 01/05/2020</dc:title>
  <dc:subject/>
  <dc:creator>Oxford City Council</dc:creator>
  <cp:keywords>Council meetings;Government, politics and public administration; Local government; Decision making; Council meetings;</cp:keywords>
  <dc:description/>
  <cp:lastModifiedBy>MITCHELL John</cp:lastModifiedBy>
  <cp:revision>2</cp:revision>
  <cp:lastPrinted>2015-07-24T10:00:00Z</cp:lastPrinted>
  <dcterms:created xsi:type="dcterms:W3CDTF">2020-07-07T16:38:00Z</dcterms:created>
  <dcterms:modified xsi:type="dcterms:W3CDTF">2020-07-07T16:38:00Z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31 August 2020</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May 2020</vt:lpwstr>
  </property>
</Properties>
</file>